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C87" w:rsidRPr="00950F12" w:rsidRDefault="00004C87" w:rsidP="00B82D0D">
      <w:pPr>
        <w:spacing w:after="200" w:line="276" w:lineRule="auto"/>
        <w:jc w:val="center"/>
        <w:rPr>
          <w:b/>
          <w:sz w:val="32"/>
          <w:szCs w:val="32"/>
        </w:rPr>
      </w:pPr>
      <w:bookmarkStart w:id="0" w:name="_Toc404864544"/>
    </w:p>
    <w:p w:rsidR="00A56D2D" w:rsidRPr="00A131AE" w:rsidRDefault="00902A0B" w:rsidP="00B82D0D">
      <w:pPr>
        <w:spacing w:after="200" w:line="276" w:lineRule="auto"/>
        <w:jc w:val="center"/>
        <w:rPr>
          <w:b/>
          <w:sz w:val="32"/>
          <w:szCs w:val="32"/>
          <w:lang w:val="en-US"/>
        </w:rPr>
      </w:pPr>
      <w:r w:rsidRPr="00A131AE">
        <w:rPr>
          <w:noProof/>
        </w:rPr>
        <w:drawing>
          <wp:inline distT="0" distB="0" distL="0" distR="0">
            <wp:extent cx="5105400" cy="1181100"/>
            <wp:effectExtent l="0" t="0" r="0" b="0"/>
            <wp:docPr id="2" name="Εικόνα 3" descr="http://www.eldrug.gr/templates/theme213/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http://www.eldrug.gr/templates/theme213/images/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400" cy="1181100"/>
                    </a:xfrm>
                    <a:prstGeom prst="rect">
                      <a:avLst/>
                    </a:prstGeom>
                    <a:noFill/>
                    <a:ln>
                      <a:noFill/>
                    </a:ln>
                  </pic:spPr>
                </pic:pic>
              </a:graphicData>
            </a:graphic>
          </wp:inline>
        </w:drawing>
      </w:r>
    </w:p>
    <w:p w:rsidR="00A56D2D" w:rsidRPr="00A131AE" w:rsidRDefault="00A56D2D" w:rsidP="00B82D0D">
      <w:pPr>
        <w:spacing w:after="200" w:line="276" w:lineRule="auto"/>
        <w:jc w:val="center"/>
        <w:rPr>
          <w:b/>
          <w:sz w:val="32"/>
          <w:szCs w:val="32"/>
          <w:lang w:val="en-US"/>
        </w:rPr>
      </w:pPr>
    </w:p>
    <w:p w:rsidR="002F642D" w:rsidRPr="00A131AE" w:rsidRDefault="00974788" w:rsidP="00B82D0D">
      <w:pPr>
        <w:spacing w:after="200" w:line="276" w:lineRule="auto"/>
        <w:jc w:val="center"/>
        <w:rPr>
          <w:b/>
          <w:sz w:val="32"/>
          <w:szCs w:val="32"/>
        </w:rPr>
      </w:pPr>
      <w:r w:rsidRPr="00A131AE">
        <w:rPr>
          <w:b/>
          <w:sz w:val="32"/>
          <w:szCs w:val="32"/>
        </w:rPr>
        <w:t>ΕΛΛΗΝΙΚΑ ΦΑΡΜΑΚΑ - ΕΡΕΥΝΑ ΚΑΙ ΑΝΑΠΤΥΞΗ - ΑΝΩNΥΜΗ ΕΤΑΙΡΕΙΑ</w:t>
      </w:r>
      <w:r w:rsidR="002F642D" w:rsidRPr="00A131AE">
        <w:rPr>
          <w:b/>
          <w:sz w:val="32"/>
          <w:szCs w:val="32"/>
        </w:rPr>
        <w:t xml:space="preserve"> </w:t>
      </w:r>
    </w:p>
    <w:p w:rsidR="002F642D" w:rsidRPr="00A131AE" w:rsidRDefault="00974788" w:rsidP="00B82D0D">
      <w:pPr>
        <w:spacing w:after="200" w:line="276" w:lineRule="auto"/>
        <w:jc w:val="center"/>
        <w:rPr>
          <w:b/>
          <w:bCs/>
          <w:sz w:val="32"/>
          <w:szCs w:val="32"/>
        </w:rPr>
      </w:pPr>
      <w:r w:rsidRPr="00A131AE">
        <w:rPr>
          <w:b/>
          <w:bCs/>
          <w:sz w:val="32"/>
          <w:szCs w:val="32"/>
        </w:rPr>
        <w:t>(Διακριτικός τίτλος ELDRUG Α.Ε.)</w:t>
      </w:r>
    </w:p>
    <w:p w:rsidR="00F155F4" w:rsidRPr="00A131AE" w:rsidRDefault="00F155F4" w:rsidP="00B82D0D">
      <w:pPr>
        <w:spacing w:after="200" w:line="276" w:lineRule="auto"/>
        <w:jc w:val="center"/>
        <w:rPr>
          <w:b/>
          <w:bCs/>
          <w:sz w:val="32"/>
          <w:szCs w:val="32"/>
        </w:rPr>
      </w:pPr>
    </w:p>
    <w:p w:rsidR="00F155F4" w:rsidRPr="00A131AE" w:rsidRDefault="00F155F4" w:rsidP="00B82D0D">
      <w:pPr>
        <w:spacing w:after="200" w:line="276" w:lineRule="auto"/>
        <w:jc w:val="center"/>
        <w:rPr>
          <w:bCs/>
          <w:sz w:val="32"/>
          <w:szCs w:val="32"/>
        </w:rPr>
      </w:pPr>
      <w:r w:rsidRPr="00A131AE">
        <w:rPr>
          <w:bCs/>
          <w:sz w:val="32"/>
          <w:szCs w:val="32"/>
        </w:rPr>
        <w:t xml:space="preserve">Οδός </w:t>
      </w:r>
      <w:r w:rsidR="00E65C49" w:rsidRPr="00E65C49">
        <w:rPr>
          <w:bCs/>
          <w:sz w:val="32"/>
          <w:szCs w:val="32"/>
        </w:rPr>
        <w:t>ΑΡΧΙΕΠΙΣΚΟΠΟΥ ΙΕΡΟΘΕΟΥ 15 &amp; ΤΑΞΙΑΡΧΩΝ, ΠΑΤΡΑ</w:t>
      </w:r>
    </w:p>
    <w:p w:rsidR="00F155F4" w:rsidRPr="00A131AE" w:rsidRDefault="00F155F4" w:rsidP="00B82D0D">
      <w:pPr>
        <w:spacing w:after="200" w:line="276" w:lineRule="auto"/>
        <w:jc w:val="center"/>
      </w:pPr>
    </w:p>
    <w:p w:rsidR="002F642D" w:rsidRPr="00A131AE" w:rsidRDefault="002F642D" w:rsidP="00B82D0D">
      <w:pPr>
        <w:spacing w:after="200" w:line="276" w:lineRule="auto"/>
        <w:jc w:val="center"/>
        <w:rPr>
          <w:bCs/>
          <w:sz w:val="32"/>
          <w:szCs w:val="32"/>
        </w:rPr>
      </w:pPr>
      <w:r w:rsidRPr="00A131AE">
        <w:rPr>
          <w:bCs/>
          <w:sz w:val="32"/>
          <w:szCs w:val="32"/>
        </w:rPr>
        <w:t>Αρ.Μ.Α.Ε.</w:t>
      </w:r>
      <w:r w:rsidR="00EA458D" w:rsidRPr="00A131AE">
        <w:rPr>
          <w:bCs/>
          <w:sz w:val="32"/>
          <w:szCs w:val="32"/>
        </w:rPr>
        <w:t xml:space="preserve"> 61240/22/Β/06/34</w:t>
      </w:r>
    </w:p>
    <w:p w:rsidR="002F642D" w:rsidRPr="00A131AE" w:rsidRDefault="002F642D" w:rsidP="00B82D0D">
      <w:pPr>
        <w:spacing w:after="200" w:line="276" w:lineRule="auto"/>
        <w:jc w:val="center"/>
        <w:rPr>
          <w:color w:val="000000"/>
          <w:sz w:val="32"/>
          <w:szCs w:val="32"/>
        </w:rPr>
      </w:pPr>
      <w:r w:rsidRPr="00A131AE">
        <w:rPr>
          <w:color w:val="000000"/>
          <w:sz w:val="32"/>
          <w:szCs w:val="32"/>
        </w:rPr>
        <w:t xml:space="preserve">ΑΡΙΘΜΟΣ Γ.Ε.ΜΗ. </w:t>
      </w:r>
      <w:r w:rsidR="007323BC" w:rsidRPr="00A131AE">
        <w:rPr>
          <w:color w:val="000000"/>
          <w:sz w:val="32"/>
          <w:szCs w:val="32"/>
        </w:rPr>
        <w:t>0</w:t>
      </w:r>
      <w:r w:rsidR="00EA458D" w:rsidRPr="00A131AE">
        <w:rPr>
          <w:color w:val="000000"/>
          <w:sz w:val="32"/>
          <w:szCs w:val="32"/>
        </w:rPr>
        <w:t>35522716000</w:t>
      </w:r>
    </w:p>
    <w:p w:rsidR="002F642D" w:rsidRPr="00A131AE" w:rsidRDefault="002F642D" w:rsidP="00B82D0D">
      <w:pPr>
        <w:spacing w:after="200" w:line="276" w:lineRule="auto"/>
        <w:jc w:val="center"/>
        <w:rPr>
          <w:b/>
          <w:color w:val="000000"/>
          <w:sz w:val="22"/>
          <w:szCs w:val="22"/>
        </w:rPr>
      </w:pPr>
    </w:p>
    <w:p w:rsidR="002F642D" w:rsidRPr="00A131AE" w:rsidRDefault="002F642D" w:rsidP="00B82D0D">
      <w:pPr>
        <w:spacing w:after="200" w:line="276" w:lineRule="auto"/>
        <w:jc w:val="center"/>
        <w:rPr>
          <w:b/>
          <w:color w:val="000000"/>
          <w:sz w:val="22"/>
          <w:szCs w:val="22"/>
        </w:rPr>
      </w:pPr>
    </w:p>
    <w:p w:rsidR="002F642D" w:rsidRPr="00A131AE" w:rsidRDefault="002F642D" w:rsidP="00B82D0D">
      <w:pPr>
        <w:spacing w:after="200" w:line="276" w:lineRule="auto"/>
        <w:jc w:val="center"/>
        <w:rPr>
          <w:b/>
          <w:color w:val="000000"/>
          <w:sz w:val="22"/>
          <w:szCs w:val="22"/>
        </w:rPr>
      </w:pPr>
    </w:p>
    <w:p w:rsidR="000C5897" w:rsidRPr="00A131AE" w:rsidRDefault="000C5897" w:rsidP="000C5897">
      <w:pPr>
        <w:spacing w:after="200" w:line="276" w:lineRule="auto"/>
        <w:jc w:val="center"/>
        <w:rPr>
          <w:b/>
          <w:sz w:val="32"/>
          <w:szCs w:val="32"/>
        </w:rPr>
      </w:pPr>
      <w:r w:rsidRPr="00A131AE">
        <w:rPr>
          <w:b/>
          <w:sz w:val="32"/>
          <w:szCs w:val="32"/>
        </w:rPr>
        <w:t>ΧΡΗΜΑΤΟΟΙΚΟΝΟΜΙΚΕΣ ΚΑΤΑΣΤΑΣΕΙΣ</w:t>
      </w:r>
    </w:p>
    <w:p w:rsidR="000C5897" w:rsidRPr="00A131AE" w:rsidRDefault="000C5897" w:rsidP="000C5897">
      <w:pPr>
        <w:spacing w:after="200" w:line="276" w:lineRule="auto"/>
        <w:jc w:val="center"/>
        <w:rPr>
          <w:b/>
          <w:sz w:val="32"/>
          <w:szCs w:val="32"/>
        </w:rPr>
      </w:pPr>
      <w:r w:rsidRPr="00A131AE">
        <w:rPr>
          <w:b/>
          <w:sz w:val="32"/>
          <w:szCs w:val="32"/>
        </w:rPr>
        <w:t>χρήσεως</w:t>
      </w:r>
    </w:p>
    <w:p w:rsidR="000C5897" w:rsidRPr="00BE2324" w:rsidRDefault="000C5897" w:rsidP="000C5897">
      <w:pPr>
        <w:spacing w:after="200" w:line="276" w:lineRule="auto"/>
        <w:jc w:val="center"/>
        <w:rPr>
          <w:b/>
          <w:sz w:val="32"/>
          <w:szCs w:val="32"/>
        </w:rPr>
      </w:pPr>
      <w:r w:rsidRPr="00A131AE">
        <w:rPr>
          <w:b/>
          <w:sz w:val="32"/>
          <w:szCs w:val="32"/>
        </w:rPr>
        <w:t xml:space="preserve">1 Ιανουαρίου </w:t>
      </w:r>
      <w:r w:rsidR="00730C1F">
        <w:rPr>
          <w:b/>
          <w:sz w:val="32"/>
          <w:szCs w:val="32"/>
        </w:rPr>
        <w:t>έως 31 Δεκεμβρίου 20</w:t>
      </w:r>
      <w:r w:rsidR="00E65C49">
        <w:rPr>
          <w:b/>
          <w:sz w:val="32"/>
          <w:szCs w:val="32"/>
        </w:rPr>
        <w:t>21</w:t>
      </w:r>
    </w:p>
    <w:p w:rsidR="000C5897" w:rsidRPr="00A131AE" w:rsidRDefault="000C5897" w:rsidP="000C5897">
      <w:pPr>
        <w:spacing w:after="200" w:line="276" w:lineRule="auto"/>
        <w:jc w:val="center"/>
        <w:rPr>
          <w:b/>
          <w:sz w:val="32"/>
          <w:szCs w:val="32"/>
        </w:rPr>
      </w:pPr>
      <w:r w:rsidRPr="00A131AE">
        <w:rPr>
          <w:b/>
          <w:sz w:val="32"/>
          <w:szCs w:val="32"/>
        </w:rPr>
        <w:t>σύμφωνα με το Ν.4308/2014</w:t>
      </w:r>
    </w:p>
    <w:p w:rsidR="000C5897" w:rsidRPr="00A131AE" w:rsidRDefault="000C5897" w:rsidP="000C5897">
      <w:pPr>
        <w:spacing w:after="200" w:line="276" w:lineRule="auto"/>
        <w:jc w:val="center"/>
        <w:rPr>
          <w:b/>
          <w:sz w:val="32"/>
          <w:szCs w:val="32"/>
        </w:rPr>
      </w:pPr>
      <w:r w:rsidRPr="00A131AE">
        <w:rPr>
          <w:b/>
          <w:sz w:val="32"/>
          <w:szCs w:val="32"/>
        </w:rPr>
        <w:t>(ΕΛΛΗΝΙΚΑ ΛΟΓΙΣΤΙΚΑ ΠΡΟΤΥΠΑ)</w:t>
      </w:r>
    </w:p>
    <w:p w:rsidR="002F642D" w:rsidRPr="00A131AE" w:rsidRDefault="002F642D" w:rsidP="00B82D0D">
      <w:pPr>
        <w:spacing w:after="200" w:line="276" w:lineRule="auto"/>
        <w:jc w:val="center"/>
        <w:rPr>
          <w:b/>
          <w:color w:val="000000"/>
          <w:sz w:val="22"/>
          <w:szCs w:val="22"/>
          <w:highlight w:val="yellow"/>
        </w:rPr>
      </w:pPr>
    </w:p>
    <w:p w:rsidR="009F6C7A" w:rsidRPr="00A131AE" w:rsidRDefault="00525929" w:rsidP="00AA777E">
      <w:pPr>
        <w:jc w:val="center"/>
        <w:rPr>
          <w:b/>
          <w:spacing w:val="20"/>
          <w:sz w:val="40"/>
          <w:szCs w:val="40"/>
          <w:highlight w:val="yellow"/>
        </w:rPr>
      </w:pPr>
      <w:r w:rsidRPr="00A131AE">
        <w:rPr>
          <w:b/>
          <w:spacing w:val="20"/>
          <w:sz w:val="40"/>
          <w:szCs w:val="40"/>
          <w:highlight w:val="yellow"/>
        </w:rPr>
        <w:lastRenderedPageBreak/>
        <w:br w:type="page"/>
      </w:r>
      <w:bookmarkStart w:id="1" w:name="_Toc446004040"/>
      <w:bookmarkStart w:id="2" w:name="_Toc446405461"/>
    </w:p>
    <w:p w:rsidR="00AA777E" w:rsidRPr="00A131AE" w:rsidRDefault="00AA777E" w:rsidP="00AA777E">
      <w:pPr>
        <w:jc w:val="center"/>
        <w:rPr>
          <w:b/>
          <w:spacing w:val="20"/>
          <w:sz w:val="40"/>
          <w:szCs w:val="40"/>
          <w:highlight w:val="yellow"/>
        </w:rPr>
      </w:pPr>
    </w:p>
    <w:p w:rsidR="00AA777E" w:rsidRPr="00A131AE" w:rsidRDefault="00AA777E" w:rsidP="00AA777E">
      <w:pPr>
        <w:jc w:val="center"/>
        <w:rPr>
          <w:highlight w:val="yellow"/>
          <w:lang w:eastAsia="en-US"/>
        </w:rPr>
      </w:pPr>
    </w:p>
    <w:p w:rsidR="009F6C7A" w:rsidRPr="00A131AE" w:rsidRDefault="009F6C7A" w:rsidP="009F6C7A">
      <w:pPr>
        <w:rPr>
          <w:highlight w:val="yellow"/>
          <w:lang w:eastAsia="en-US"/>
        </w:rPr>
      </w:pPr>
    </w:p>
    <w:p w:rsidR="009F6C7A" w:rsidRPr="00A131AE" w:rsidRDefault="009F6C7A" w:rsidP="009F6C7A">
      <w:pPr>
        <w:rPr>
          <w:lang w:eastAsia="en-US"/>
        </w:rPr>
      </w:pPr>
    </w:p>
    <w:p w:rsidR="009F6C7A" w:rsidRPr="00A131AE" w:rsidRDefault="009F6C7A" w:rsidP="009F6C7A">
      <w:pPr>
        <w:spacing w:after="200" w:line="276" w:lineRule="auto"/>
        <w:jc w:val="center"/>
        <w:rPr>
          <w:b/>
          <w:sz w:val="32"/>
          <w:szCs w:val="32"/>
        </w:rPr>
      </w:pPr>
      <w:r w:rsidRPr="00A131AE">
        <w:rPr>
          <w:b/>
          <w:sz w:val="32"/>
          <w:szCs w:val="32"/>
        </w:rPr>
        <w:t xml:space="preserve">ΕΛΛΗΝΙΚΑ ΦΑΡΜΑΚΑ - ΕΡΕΥΝΑ ΚΑΙ ΑΝΑΠΤΥΞΗ - ΑΝΩNΥΜΗ ΕΤΑΙΡΕΙΑ </w:t>
      </w:r>
    </w:p>
    <w:p w:rsidR="009F6C7A" w:rsidRPr="00A131AE" w:rsidRDefault="009F6C7A" w:rsidP="009F6C7A">
      <w:pPr>
        <w:spacing w:after="200" w:line="276" w:lineRule="auto"/>
        <w:jc w:val="center"/>
        <w:rPr>
          <w:b/>
          <w:bCs/>
          <w:sz w:val="32"/>
          <w:szCs w:val="32"/>
        </w:rPr>
      </w:pPr>
      <w:r w:rsidRPr="00A131AE">
        <w:rPr>
          <w:b/>
          <w:bCs/>
          <w:sz w:val="32"/>
          <w:szCs w:val="32"/>
        </w:rPr>
        <w:t>(Διακριτικός τίτλος ELDRUG Α.Ε.)</w:t>
      </w:r>
    </w:p>
    <w:p w:rsidR="009F6C7A" w:rsidRPr="00A131AE" w:rsidRDefault="009F6C7A" w:rsidP="009F6C7A">
      <w:pPr>
        <w:rPr>
          <w:lang w:eastAsia="en-US"/>
        </w:rPr>
      </w:pPr>
    </w:p>
    <w:p w:rsidR="001B0439" w:rsidRPr="00A131AE" w:rsidRDefault="001B0439" w:rsidP="001B0439">
      <w:pPr>
        <w:rPr>
          <w:lang w:eastAsia="en-US"/>
        </w:rPr>
      </w:pPr>
    </w:p>
    <w:p w:rsidR="001B0439" w:rsidRPr="00A131AE" w:rsidRDefault="001B0439" w:rsidP="001B0439">
      <w:pPr>
        <w:rPr>
          <w:lang w:eastAsia="en-US"/>
        </w:rPr>
      </w:pPr>
    </w:p>
    <w:p w:rsidR="001B0439" w:rsidRPr="00A131AE" w:rsidRDefault="001B0439" w:rsidP="001B0439">
      <w:pPr>
        <w:rPr>
          <w:lang w:eastAsia="en-US"/>
        </w:rPr>
      </w:pPr>
    </w:p>
    <w:p w:rsidR="001B0439" w:rsidRPr="00A131AE" w:rsidRDefault="001B0439" w:rsidP="001B0439">
      <w:pPr>
        <w:rPr>
          <w:lang w:eastAsia="en-US"/>
        </w:rPr>
      </w:pPr>
    </w:p>
    <w:p w:rsidR="001B0439" w:rsidRPr="00A131AE" w:rsidRDefault="001B0439" w:rsidP="001B0439">
      <w:pPr>
        <w:rPr>
          <w:lang w:eastAsia="en-US"/>
        </w:rPr>
      </w:pPr>
    </w:p>
    <w:p w:rsidR="001B0439" w:rsidRPr="00A131AE" w:rsidRDefault="001B0439" w:rsidP="001B0439">
      <w:pPr>
        <w:spacing w:after="200" w:line="276" w:lineRule="auto"/>
        <w:jc w:val="center"/>
        <w:rPr>
          <w:b/>
          <w:sz w:val="32"/>
          <w:szCs w:val="32"/>
        </w:rPr>
      </w:pPr>
      <w:r w:rsidRPr="00A131AE">
        <w:rPr>
          <w:b/>
          <w:sz w:val="32"/>
          <w:szCs w:val="32"/>
        </w:rPr>
        <w:t>ΧΡΗΜΑΤΟΟΙΚΟΝΟΜΙΚΕΣ ΚΑΤΑΣΤΑΣΕΙΣ</w:t>
      </w:r>
    </w:p>
    <w:p w:rsidR="001B0439" w:rsidRPr="00A131AE" w:rsidRDefault="001B0439" w:rsidP="001B0439">
      <w:pPr>
        <w:spacing w:after="200" w:line="276" w:lineRule="auto"/>
        <w:jc w:val="center"/>
        <w:rPr>
          <w:b/>
          <w:sz w:val="32"/>
          <w:szCs w:val="32"/>
        </w:rPr>
      </w:pPr>
      <w:r w:rsidRPr="00A131AE">
        <w:rPr>
          <w:b/>
          <w:sz w:val="32"/>
          <w:szCs w:val="32"/>
        </w:rPr>
        <w:t>χρήσεως</w:t>
      </w:r>
    </w:p>
    <w:p w:rsidR="001B0439" w:rsidRPr="00FC0F5F" w:rsidRDefault="001B0439" w:rsidP="001B0439">
      <w:pPr>
        <w:spacing w:after="200" w:line="276" w:lineRule="auto"/>
        <w:jc w:val="center"/>
        <w:rPr>
          <w:b/>
          <w:sz w:val="32"/>
          <w:szCs w:val="32"/>
        </w:rPr>
      </w:pPr>
      <w:r w:rsidRPr="00A131AE">
        <w:rPr>
          <w:b/>
          <w:sz w:val="32"/>
          <w:szCs w:val="32"/>
        </w:rPr>
        <w:t>1 Ι</w:t>
      </w:r>
      <w:r w:rsidR="00E65C49">
        <w:rPr>
          <w:b/>
          <w:sz w:val="32"/>
          <w:szCs w:val="32"/>
        </w:rPr>
        <w:t>ανουαρίου έως 31 Δεκεμβρίου 2021</w:t>
      </w:r>
    </w:p>
    <w:p w:rsidR="001B0439" w:rsidRPr="00A131AE" w:rsidRDefault="001B0439" w:rsidP="001B0439">
      <w:pPr>
        <w:spacing w:after="200" w:line="276" w:lineRule="auto"/>
        <w:jc w:val="center"/>
        <w:rPr>
          <w:b/>
          <w:sz w:val="32"/>
          <w:szCs w:val="32"/>
        </w:rPr>
      </w:pPr>
      <w:r w:rsidRPr="00A131AE">
        <w:rPr>
          <w:b/>
          <w:sz w:val="32"/>
          <w:szCs w:val="32"/>
        </w:rPr>
        <w:t>σύμφωνα με το Ν.4308/2014</w:t>
      </w:r>
    </w:p>
    <w:p w:rsidR="001B0439" w:rsidRPr="00A131AE" w:rsidRDefault="001B0439" w:rsidP="001B0439">
      <w:pPr>
        <w:spacing w:after="200" w:line="276" w:lineRule="auto"/>
        <w:jc w:val="center"/>
        <w:rPr>
          <w:b/>
          <w:sz w:val="32"/>
          <w:szCs w:val="32"/>
        </w:rPr>
      </w:pPr>
      <w:r w:rsidRPr="00A131AE">
        <w:rPr>
          <w:b/>
          <w:sz w:val="32"/>
          <w:szCs w:val="32"/>
        </w:rPr>
        <w:t>(ΕΛΛΗΝΙΚΑ ΛΟΓΙΣΤΙΚΑ ΠΡΟΤΥΠΑ)</w:t>
      </w:r>
    </w:p>
    <w:p w:rsidR="001B0439" w:rsidRPr="00A131AE" w:rsidRDefault="001B0439" w:rsidP="001B0439">
      <w:pPr>
        <w:shd w:val="clear" w:color="auto" w:fill="FFFFFF"/>
        <w:spacing w:after="200" w:line="276" w:lineRule="auto"/>
        <w:ind w:left="5" w:right="14" w:firstLine="562"/>
        <w:jc w:val="both"/>
        <w:rPr>
          <w:sz w:val="22"/>
          <w:szCs w:val="22"/>
          <w:highlight w:val="yellow"/>
        </w:rPr>
      </w:pPr>
    </w:p>
    <w:p w:rsidR="001B0439" w:rsidRPr="00A131AE" w:rsidRDefault="001B0439" w:rsidP="001B0439">
      <w:pPr>
        <w:shd w:val="clear" w:color="auto" w:fill="FFFFFF"/>
        <w:spacing w:after="200" w:line="276" w:lineRule="auto"/>
        <w:ind w:left="5" w:right="14" w:firstLine="562"/>
        <w:jc w:val="both"/>
        <w:rPr>
          <w:sz w:val="22"/>
          <w:szCs w:val="22"/>
          <w:highlight w:val="yellow"/>
        </w:rPr>
      </w:pPr>
    </w:p>
    <w:p w:rsidR="003506D2" w:rsidRPr="00247F2B" w:rsidRDefault="003506D2" w:rsidP="00AA777E">
      <w:pPr>
        <w:rPr>
          <w:highlight w:val="yellow"/>
          <w:lang w:eastAsia="en-US"/>
        </w:rPr>
        <w:sectPr w:rsidR="003506D2" w:rsidRPr="00247F2B" w:rsidSect="003506D2">
          <w:headerReference w:type="default" r:id="rId9"/>
          <w:footerReference w:type="default" r:id="rId10"/>
          <w:headerReference w:type="first" r:id="rId11"/>
          <w:footerReference w:type="first" r:id="rId12"/>
          <w:pgSz w:w="11906" w:h="16838" w:code="9"/>
          <w:pgMar w:top="1418" w:right="1418" w:bottom="1191" w:left="1418" w:header="1134" w:footer="680" w:gutter="0"/>
          <w:cols w:space="708"/>
          <w:titlePg/>
          <w:docGrid w:linePitch="360"/>
        </w:sectPr>
      </w:pPr>
      <w:bookmarkStart w:id="3" w:name="_GoBack"/>
      <w:bookmarkEnd w:id="3"/>
    </w:p>
    <w:p w:rsidR="004A2266" w:rsidRPr="001D11B6" w:rsidRDefault="00614F01" w:rsidP="003506D2">
      <w:pPr>
        <w:pStyle w:val="1"/>
        <w:jc w:val="left"/>
        <w:rPr>
          <w:lang w:val="el-GR"/>
        </w:rPr>
      </w:pPr>
      <w:bookmarkStart w:id="4" w:name="_Toc488058528"/>
      <w:bookmarkStart w:id="5" w:name="_Toc15545989"/>
      <w:bookmarkEnd w:id="1"/>
      <w:bookmarkEnd w:id="2"/>
      <w:r w:rsidRPr="001D11B6">
        <w:lastRenderedPageBreak/>
        <w:t>ΙΣΟΛΟΓΙΣΜΟΣ της 31/12/20</w:t>
      </w:r>
      <w:bookmarkEnd w:id="4"/>
      <w:bookmarkEnd w:id="5"/>
      <w:r w:rsidR="00012256">
        <w:t>21</w:t>
      </w:r>
    </w:p>
    <w:p w:rsidR="005D16F6" w:rsidRPr="00FC0F5F" w:rsidRDefault="005D16F6" w:rsidP="005D16F6">
      <w:pPr>
        <w:rPr>
          <w:highlight w:val="yellow"/>
          <w:lang w:eastAsia="en-US"/>
        </w:rPr>
      </w:pPr>
    </w:p>
    <w:tbl>
      <w:tblPr>
        <w:tblW w:w="5000" w:type="pct"/>
        <w:tblLook w:val="04A0" w:firstRow="1" w:lastRow="0" w:firstColumn="1" w:lastColumn="0" w:noHBand="0" w:noVBand="1"/>
      </w:tblPr>
      <w:tblGrid>
        <w:gridCol w:w="272"/>
        <w:gridCol w:w="273"/>
        <w:gridCol w:w="4779"/>
        <w:gridCol w:w="1178"/>
        <w:gridCol w:w="1405"/>
        <w:gridCol w:w="1437"/>
      </w:tblGrid>
      <w:tr w:rsidR="003B577F" w:rsidTr="003B577F">
        <w:trPr>
          <w:trHeight w:val="330"/>
        </w:trPr>
        <w:tc>
          <w:tcPr>
            <w:tcW w:w="2851" w:type="pct"/>
            <w:gridSpan w:val="3"/>
            <w:tcBorders>
              <w:top w:val="single" w:sz="4" w:space="0" w:color="auto"/>
              <w:left w:val="single" w:sz="4" w:space="0" w:color="auto"/>
              <w:bottom w:val="nil"/>
              <w:right w:val="nil"/>
            </w:tcBorders>
            <w:shd w:val="clear" w:color="auto" w:fill="auto"/>
            <w:noWrap/>
            <w:vAlign w:val="bottom"/>
            <w:hideMark/>
          </w:tcPr>
          <w:p w:rsidR="003B577F" w:rsidRDefault="003B577F">
            <w:pPr>
              <w:rPr>
                <w:b/>
                <w:bCs/>
                <w:sz w:val="22"/>
                <w:szCs w:val="22"/>
              </w:rPr>
            </w:pPr>
            <w:r>
              <w:rPr>
                <w:b/>
                <w:bCs/>
                <w:sz w:val="22"/>
                <w:szCs w:val="22"/>
              </w:rPr>
              <w:t>ΕΝΕΡΓΗΤΙΚΟ</w:t>
            </w:r>
          </w:p>
        </w:tc>
        <w:tc>
          <w:tcPr>
            <w:tcW w:w="530" w:type="pct"/>
            <w:tcBorders>
              <w:top w:val="single" w:sz="4" w:space="0" w:color="auto"/>
              <w:left w:val="nil"/>
              <w:bottom w:val="nil"/>
              <w:right w:val="nil"/>
            </w:tcBorders>
            <w:shd w:val="clear" w:color="auto" w:fill="auto"/>
            <w:noWrap/>
            <w:vAlign w:val="bottom"/>
            <w:hideMark/>
          </w:tcPr>
          <w:p w:rsidR="003B577F" w:rsidRDefault="003B577F">
            <w:pPr>
              <w:rPr>
                <w:b/>
                <w:bCs/>
                <w:color w:val="000000"/>
                <w:sz w:val="22"/>
                <w:szCs w:val="22"/>
                <w:u w:val="single"/>
              </w:rPr>
            </w:pPr>
            <w:r>
              <w:rPr>
                <w:b/>
                <w:bCs/>
                <w:color w:val="000000"/>
                <w:sz w:val="22"/>
                <w:szCs w:val="22"/>
                <w:u w:val="single"/>
              </w:rPr>
              <w:t>Σημείωση</w:t>
            </w:r>
          </w:p>
        </w:tc>
        <w:tc>
          <w:tcPr>
            <w:tcW w:w="801" w:type="pct"/>
            <w:tcBorders>
              <w:top w:val="single" w:sz="4" w:space="0" w:color="auto"/>
              <w:left w:val="single" w:sz="4" w:space="0" w:color="auto"/>
              <w:bottom w:val="nil"/>
              <w:right w:val="nil"/>
            </w:tcBorders>
            <w:shd w:val="clear" w:color="auto" w:fill="auto"/>
            <w:noWrap/>
            <w:vAlign w:val="bottom"/>
            <w:hideMark/>
          </w:tcPr>
          <w:p w:rsidR="003B577F" w:rsidRDefault="003B577F">
            <w:pPr>
              <w:jc w:val="right"/>
              <w:rPr>
                <w:b/>
                <w:bCs/>
                <w:sz w:val="22"/>
                <w:szCs w:val="22"/>
                <w:u w:val="single"/>
              </w:rPr>
            </w:pPr>
            <w:r>
              <w:rPr>
                <w:b/>
                <w:bCs/>
                <w:sz w:val="22"/>
                <w:szCs w:val="22"/>
                <w:u w:val="single"/>
              </w:rPr>
              <w:t>31/12/21</w:t>
            </w:r>
          </w:p>
        </w:tc>
        <w:tc>
          <w:tcPr>
            <w:tcW w:w="819" w:type="pct"/>
            <w:tcBorders>
              <w:top w:val="single" w:sz="4" w:space="0" w:color="auto"/>
              <w:left w:val="single" w:sz="4" w:space="0" w:color="auto"/>
              <w:bottom w:val="nil"/>
              <w:right w:val="single" w:sz="4" w:space="0" w:color="auto"/>
            </w:tcBorders>
            <w:shd w:val="clear" w:color="auto" w:fill="auto"/>
            <w:noWrap/>
            <w:vAlign w:val="bottom"/>
            <w:hideMark/>
          </w:tcPr>
          <w:p w:rsidR="003B577F" w:rsidRDefault="003B577F">
            <w:pPr>
              <w:jc w:val="right"/>
              <w:rPr>
                <w:b/>
                <w:bCs/>
                <w:color w:val="000000"/>
                <w:sz w:val="22"/>
                <w:szCs w:val="22"/>
                <w:u w:val="single"/>
              </w:rPr>
            </w:pPr>
            <w:r>
              <w:rPr>
                <w:b/>
                <w:bCs/>
                <w:color w:val="000000"/>
                <w:sz w:val="22"/>
                <w:szCs w:val="22"/>
                <w:u w:val="single"/>
              </w:rPr>
              <w:t>31/12/20</w:t>
            </w:r>
          </w:p>
        </w:tc>
      </w:tr>
      <w:tr w:rsidR="003B577F" w:rsidTr="003B577F">
        <w:trPr>
          <w:trHeight w:val="330"/>
        </w:trPr>
        <w:tc>
          <w:tcPr>
            <w:tcW w:w="2851" w:type="pct"/>
            <w:gridSpan w:val="3"/>
            <w:tcBorders>
              <w:top w:val="nil"/>
              <w:left w:val="single" w:sz="4" w:space="0" w:color="auto"/>
              <w:bottom w:val="nil"/>
              <w:right w:val="nil"/>
            </w:tcBorders>
            <w:shd w:val="clear" w:color="auto" w:fill="auto"/>
            <w:noWrap/>
            <w:vAlign w:val="bottom"/>
            <w:hideMark/>
          </w:tcPr>
          <w:p w:rsidR="003B577F" w:rsidRDefault="003B577F">
            <w:pPr>
              <w:rPr>
                <w:b/>
                <w:bCs/>
                <w:color w:val="000000"/>
                <w:sz w:val="22"/>
                <w:szCs w:val="22"/>
              </w:rPr>
            </w:pPr>
            <w:r>
              <w:rPr>
                <w:b/>
                <w:bCs/>
                <w:color w:val="000000"/>
                <w:sz w:val="22"/>
                <w:szCs w:val="22"/>
              </w:rPr>
              <w:t xml:space="preserve">Μη </w:t>
            </w:r>
            <w:proofErr w:type="spellStart"/>
            <w:r>
              <w:rPr>
                <w:b/>
                <w:bCs/>
                <w:color w:val="000000"/>
                <w:sz w:val="22"/>
                <w:szCs w:val="22"/>
              </w:rPr>
              <w:t>κυκλοφορούντα</w:t>
            </w:r>
            <w:proofErr w:type="spellEnd"/>
            <w:r>
              <w:rPr>
                <w:b/>
                <w:bCs/>
                <w:color w:val="000000"/>
                <w:sz w:val="22"/>
                <w:szCs w:val="22"/>
              </w:rPr>
              <w:t xml:space="preserve"> περιουσιακά στοιχεία</w:t>
            </w:r>
          </w:p>
        </w:tc>
        <w:tc>
          <w:tcPr>
            <w:tcW w:w="530" w:type="pct"/>
            <w:tcBorders>
              <w:top w:val="nil"/>
              <w:left w:val="nil"/>
              <w:bottom w:val="nil"/>
              <w:right w:val="nil"/>
            </w:tcBorders>
            <w:shd w:val="clear" w:color="auto" w:fill="auto"/>
            <w:noWrap/>
            <w:vAlign w:val="bottom"/>
            <w:hideMark/>
          </w:tcPr>
          <w:p w:rsidR="003B577F" w:rsidRDefault="003B577F">
            <w:pPr>
              <w:rPr>
                <w:b/>
                <w:bCs/>
                <w:color w:val="000000"/>
                <w:sz w:val="22"/>
                <w:szCs w:val="22"/>
              </w:rPr>
            </w:pPr>
          </w:p>
        </w:tc>
        <w:tc>
          <w:tcPr>
            <w:tcW w:w="801"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819" w:type="pct"/>
            <w:tcBorders>
              <w:top w:val="nil"/>
              <w:left w:val="single" w:sz="4" w:space="0" w:color="auto"/>
              <w:bottom w:val="nil"/>
              <w:right w:val="single" w:sz="4" w:space="0" w:color="auto"/>
            </w:tcBorders>
            <w:shd w:val="clear" w:color="auto" w:fill="auto"/>
            <w:noWrap/>
            <w:vAlign w:val="bottom"/>
            <w:hideMark/>
          </w:tcPr>
          <w:p w:rsidR="003B577F" w:rsidRDefault="003B577F">
            <w:pPr>
              <w:rPr>
                <w:color w:val="000000"/>
                <w:sz w:val="22"/>
                <w:szCs w:val="22"/>
              </w:rPr>
            </w:pPr>
            <w:r>
              <w:rPr>
                <w:color w:val="000000"/>
                <w:sz w:val="22"/>
                <w:szCs w:val="22"/>
              </w:rPr>
              <w:t> </w:t>
            </w:r>
          </w:p>
        </w:tc>
      </w:tr>
      <w:tr w:rsidR="003B577F" w:rsidTr="003B577F">
        <w:trPr>
          <w:trHeight w:val="330"/>
        </w:trPr>
        <w:tc>
          <w:tcPr>
            <w:tcW w:w="122"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2729" w:type="pct"/>
            <w:gridSpan w:val="2"/>
            <w:tcBorders>
              <w:top w:val="nil"/>
              <w:left w:val="nil"/>
              <w:bottom w:val="nil"/>
              <w:right w:val="nil"/>
            </w:tcBorders>
            <w:shd w:val="clear" w:color="auto" w:fill="auto"/>
            <w:noWrap/>
            <w:vAlign w:val="bottom"/>
            <w:hideMark/>
          </w:tcPr>
          <w:p w:rsidR="003B577F" w:rsidRDefault="003B577F">
            <w:pPr>
              <w:rPr>
                <w:b/>
                <w:bCs/>
                <w:i/>
                <w:iCs/>
                <w:color w:val="000000"/>
                <w:sz w:val="22"/>
                <w:szCs w:val="22"/>
              </w:rPr>
            </w:pPr>
            <w:r>
              <w:rPr>
                <w:b/>
                <w:bCs/>
                <w:i/>
                <w:iCs/>
                <w:color w:val="000000"/>
                <w:sz w:val="22"/>
                <w:szCs w:val="22"/>
              </w:rPr>
              <w:t>Ενσώματα πάγια</w:t>
            </w:r>
          </w:p>
        </w:tc>
        <w:tc>
          <w:tcPr>
            <w:tcW w:w="530" w:type="pct"/>
            <w:tcBorders>
              <w:top w:val="nil"/>
              <w:left w:val="nil"/>
              <w:bottom w:val="nil"/>
              <w:right w:val="nil"/>
            </w:tcBorders>
            <w:shd w:val="clear" w:color="auto" w:fill="auto"/>
            <w:noWrap/>
            <w:vAlign w:val="bottom"/>
            <w:hideMark/>
          </w:tcPr>
          <w:p w:rsidR="003B577F" w:rsidRDefault="003B577F">
            <w:pPr>
              <w:rPr>
                <w:b/>
                <w:bCs/>
                <w:i/>
                <w:iCs/>
                <w:color w:val="000000"/>
                <w:sz w:val="22"/>
                <w:szCs w:val="22"/>
              </w:rPr>
            </w:pPr>
          </w:p>
        </w:tc>
        <w:tc>
          <w:tcPr>
            <w:tcW w:w="801"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819" w:type="pct"/>
            <w:tcBorders>
              <w:top w:val="nil"/>
              <w:left w:val="single" w:sz="4" w:space="0" w:color="auto"/>
              <w:bottom w:val="nil"/>
              <w:right w:val="single" w:sz="4" w:space="0" w:color="auto"/>
            </w:tcBorders>
            <w:shd w:val="clear" w:color="auto" w:fill="auto"/>
            <w:noWrap/>
            <w:vAlign w:val="bottom"/>
            <w:hideMark/>
          </w:tcPr>
          <w:p w:rsidR="003B577F" w:rsidRDefault="003B577F">
            <w:pPr>
              <w:rPr>
                <w:color w:val="000000"/>
                <w:sz w:val="22"/>
                <w:szCs w:val="22"/>
              </w:rPr>
            </w:pPr>
            <w:r>
              <w:rPr>
                <w:color w:val="000000"/>
                <w:sz w:val="22"/>
                <w:szCs w:val="22"/>
              </w:rPr>
              <w:t> </w:t>
            </w:r>
          </w:p>
        </w:tc>
      </w:tr>
      <w:tr w:rsidR="003B577F" w:rsidTr="003B577F">
        <w:trPr>
          <w:trHeight w:val="330"/>
        </w:trPr>
        <w:tc>
          <w:tcPr>
            <w:tcW w:w="122"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2" w:type="pct"/>
            <w:tcBorders>
              <w:top w:val="nil"/>
              <w:left w:val="nil"/>
              <w:bottom w:val="nil"/>
              <w:right w:val="nil"/>
            </w:tcBorders>
            <w:shd w:val="clear" w:color="auto" w:fill="auto"/>
            <w:noWrap/>
            <w:vAlign w:val="bottom"/>
            <w:hideMark/>
          </w:tcPr>
          <w:p w:rsidR="003B577F" w:rsidRDefault="003B577F">
            <w:pPr>
              <w:rPr>
                <w:sz w:val="22"/>
                <w:szCs w:val="22"/>
              </w:rPr>
            </w:pPr>
          </w:p>
        </w:tc>
        <w:tc>
          <w:tcPr>
            <w:tcW w:w="2607" w:type="pct"/>
            <w:tcBorders>
              <w:top w:val="nil"/>
              <w:left w:val="nil"/>
              <w:bottom w:val="nil"/>
              <w:right w:val="nil"/>
            </w:tcBorders>
            <w:shd w:val="clear" w:color="auto" w:fill="auto"/>
            <w:noWrap/>
            <w:vAlign w:val="bottom"/>
            <w:hideMark/>
          </w:tcPr>
          <w:p w:rsidR="003B577F" w:rsidRDefault="003B577F">
            <w:pPr>
              <w:rPr>
                <w:color w:val="000000"/>
                <w:sz w:val="22"/>
                <w:szCs w:val="22"/>
              </w:rPr>
            </w:pPr>
            <w:r>
              <w:rPr>
                <w:color w:val="000000"/>
                <w:sz w:val="22"/>
                <w:szCs w:val="22"/>
              </w:rPr>
              <w:t>Μηχανολογικός εξοπλισμός</w:t>
            </w:r>
          </w:p>
        </w:tc>
        <w:tc>
          <w:tcPr>
            <w:tcW w:w="530" w:type="pct"/>
            <w:tcBorders>
              <w:top w:val="nil"/>
              <w:left w:val="nil"/>
              <w:bottom w:val="nil"/>
              <w:right w:val="nil"/>
            </w:tcBorders>
            <w:shd w:val="clear" w:color="auto" w:fill="auto"/>
            <w:noWrap/>
            <w:vAlign w:val="bottom"/>
            <w:hideMark/>
          </w:tcPr>
          <w:p w:rsidR="003B577F" w:rsidRDefault="003B577F">
            <w:pPr>
              <w:jc w:val="center"/>
              <w:rPr>
                <w:color w:val="000000"/>
                <w:sz w:val="22"/>
                <w:szCs w:val="22"/>
              </w:rPr>
            </w:pPr>
            <w:r>
              <w:rPr>
                <w:color w:val="000000"/>
                <w:sz w:val="22"/>
                <w:szCs w:val="22"/>
              </w:rPr>
              <w:t>6.1</w:t>
            </w:r>
          </w:p>
        </w:tc>
        <w:tc>
          <w:tcPr>
            <w:tcW w:w="801" w:type="pct"/>
            <w:tcBorders>
              <w:top w:val="nil"/>
              <w:left w:val="single" w:sz="4" w:space="0" w:color="auto"/>
              <w:bottom w:val="nil"/>
              <w:right w:val="nil"/>
            </w:tcBorders>
            <w:shd w:val="clear" w:color="auto" w:fill="auto"/>
            <w:noWrap/>
            <w:vAlign w:val="bottom"/>
            <w:hideMark/>
          </w:tcPr>
          <w:p w:rsidR="003B577F" w:rsidRDefault="003B577F">
            <w:pPr>
              <w:jc w:val="right"/>
              <w:rPr>
                <w:sz w:val="22"/>
                <w:szCs w:val="22"/>
              </w:rPr>
            </w:pPr>
            <w:r>
              <w:rPr>
                <w:sz w:val="22"/>
                <w:szCs w:val="22"/>
              </w:rPr>
              <w:t>2.293,28</w:t>
            </w:r>
          </w:p>
        </w:tc>
        <w:tc>
          <w:tcPr>
            <w:tcW w:w="819" w:type="pct"/>
            <w:tcBorders>
              <w:top w:val="nil"/>
              <w:left w:val="single" w:sz="4" w:space="0" w:color="auto"/>
              <w:bottom w:val="nil"/>
              <w:right w:val="single" w:sz="4"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3.096,34</w:t>
            </w:r>
          </w:p>
        </w:tc>
      </w:tr>
      <w:tr w:rsidR="003B577F" w:rsidTr="003B577F">
        <w:trPr>
          <w:trHeight w:val="330"/>
        </w:trPr>
        <w:tc>
          <w:tcPr>
            <w:tcW w:w="122"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2" w:type="pct"/>
            <w:tcBorders>
              <w:top w:val="nil"/>
              <w:left w:val="nil"/>
              <w:bottom w:val="nil"/>
              <w:right w:val="nil"/>
            </w:tcBorders>
            <w:shd w:val="clear" w:color="auto" w:fill="auto"/>
            <w:noWrap/>
            <w:vAlign w:val="bottom"/>
            <w:hideMark/>
          </w:tcPr>
          <w:p w:rsidR="003B577F" w:rsidRDefault="003B577F">
            <w:pPr>
              <w:rPr>
                <w:sz w:val="22"/>
                <w:szCs w:val="22"/>
              </w:rPr>
            </w:pPr>
          </w:p>
        </w:tc>
        <w:tc>
          <w:tcPr>
            <w:tcW w:w="2607" w:type="pct"/>
            <w:tcBorders>
              <w:top w:val="nil"/>
              <w:left w:val="nil"/>
              <w:bottom w:val="nil"/>
              <w:right w:val="nil"/>
            </w:tcBorders>
            <w:shd w:val="clear" w:color="auto" w:fill="auto"/>
            <w:noWrap/>
            <w:vAlign w:val="bottom"/>
            <w:hideMark/>
          </w:tcPr>
          <w:p w:rsidR="003B577F" w:rsidRDefault="003B577F">
            <w:pPr>
              <w:rPr>
                <w:color w:val="000000"/>
                <w:sz w:val="22"/>
                <w:szCs w:val="22"/>
              </w:rPr>
            </w:pPr>
            <w:r>
              <w:rPr>
                <w:color w:val="000000"/>
                <w:sz w:val="22"/>
                <w:szCs w:val="22"/>
              </w:rPr>
              <w:t>Λοιπός εξοπλισμός</w:t>
            </w:r>
          </w:p>
        </w:tc>
        <w:tc>
          <w:tcPr>
            <w:tcW w:w="530" w:type="pct"/>
            <w:tcBorders>
              <w:top w:val="nil"/>
              <w:left w:val="nil"/>
              <w:bottom w:val="nil"/>
              <w:right w:val="nil"/>
            </w:tcBorders>
            <w:shd w:val="clear" w:color="auto" w:fill="auto"/>
            <w:noWrap/>
            <w:vAlign w:val="bottom"/>
            <w:hideMark/>
          </w:tcPr>
          <w:p w:rsidR="003B577F" w:rsidRDefault="003B577F">
            <w:pPr>
              <w:jc w:val="center"/>
              <w:rPr>
                <w:color w:val="000000"/>
                <w:sz w:val="22"/>
                <w:szCs w:val="22"/>
              </w:rPr>
            </w:pPr>
            <w:r>
              <w:rPr>
                <w:color w:val="000000"/>
                <w:sz w:val="22"/>
                <w:szCs w:val="22"/>
              </w:rPr>
              <w:t>6.1</w:t>
            </w:r>
          </w:p>
        </w:tc>
        <w:tc>
          <w:tcPr>
            <w:tcW w:w="801" w:type="pct"/>
            <w:tcBorders>
              <w:top w:val="nil"/>
              <w:left w:val="single" w:sz="4" w:space="0" w:color="auto"/>
              <w:bottom w:val="nil"/>
              <w:right w:val="nil"/>
            </w:tcBorders>
            <w:shd w:val="clear" w:color="auto" w:fill="auto"/>
            <w:noWrap/>
            <w:vAlign w:val="bottom"/>
            <w:hideMark/>
          </w:tcPr>
          <w:p w:rsidR="003B577F" w:rsidRDefault="003B577F">
            <w:pPr>
              <w:jc w:val="right"/>
              <w:rPr>
                <w:sz w:val="22"/>
                <w:szCs w:val="22"/>
              </w:rPr>
            </w:pPr>
            <w:r>
              <w:rPr>
                <w:sz w:val="22"/>
                <w:szCs w:val="22"/>
              </w:rPr>
              <w:t>201,14</w:t>
            </w:r>
          </w:p>
        </w:tc>
        <w:tc>
          <w:tcPr>
            <w:tcW w:w="819" w:type="pct"/>
            <w:tcBorders>
              <w:top w:val="nil"/>
              <w:left w:val="single" w:sz="4" w:space="0" w:color="auto"/>
              <w:bottom w:val="nil"/>
              <w:right w:val="single" w:sz="4"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253,74</w:t>
            </w:r>
          </w:p>
        </w:tc>
      </w:tr>
      <w:tr w:rsidR="003B577F" w:rsidTr="003B577F">
        <w:trPr>
          <w:trHeight w:val="330"/>
        </w:trPr>
        <w:tc>
          <w:tcPr>
            <w:tcW w:w="122"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2" w:type="pct"/>
            <w:tcBorders>
              <w:top w:val="nil"/>
              <w:left w:val="nil"/>
              <w:bottom w:val="nil"/>
              <w:right w:val="nil"/>
            </w:tcBorders>
            <w:shd w:val="clear" w:color="auto" w:fill="auto"/>
            <w:noWrap/>
            <w:vAlign w:val="bottom"/>
            <w:hideMark/>
          </w:tcPr>
          <w:p w:rsidR="003B577F" w:rsidRDefault="003B577F">
            <w:pPr>
              <w:rPr>
                <w:sz w:val="22"/>
                <w:szCs w:val="22"/>
              </w:rPr>
            </w:pPr>
          </w:p>
        </w:tc>
        <w:tc>
          <w:tcPr>
            <w:tcW w:w="2607" w:type="pct"/>
            <w:tcBorders>
              <w:top w:val="nil"/>
              <w:left w:val="nil"/>
              <w:bottom w:val="nil"/>
              <w:right w:val="nil"/>
            </w:tcBorders>
            <w:shd w:val="clear" w:color="auto" w:fill="auto"/>
            <w:noWrap/>
            <w:vAlign w:val="bottom"/>
            <w:hideMark/>
          </w:tcPr>
          <w:p w:rsidR="003B577F" w:rsidRDefault="003B577F">
            <w:pPr>
              <w:rPr>
                <w:color w:val="000000"/>
                <w:sz w:val="22"/>
                <w:szCs w:val="22"/>
              </w:rPr>
            </w:pPr>
            <w:r>
              <w:rPr>
                <w:color w:val="000000"/>
                <w:sz w:val="22"/>
                <w:szCs w:val="22"/>
              </w:rPr>
              <w:t>Επενδύσεις σε ακίνητα</w:t>
            </w:r>
          </w:p>
        </w:tc>
        <w:tc>
          <w:tcPr>
            <w:tcW w:w="530" w:type="pct"/>
            <w:tcBorders>
              <w:top w:val="nil"/>
              <w:left w:val="nil"/>
              <w:bottom w:val="nil"/>
              <w:right w:val="nil"/>
            </w:tcBorders>
            <w:shd w:val="clear" w:color="auto" w:fill="auto"/>
            <w:noWrap/>
            <w:vAlign w:val="bottom"/>
            <w:hideMark/>
          </w:tcPr>
          <w:p w:rsidR="003B577F" w:rsidRDefault="003B577F">
            <w:pPr>
              <w:jc w:val="center"/>
              <w:rPr>
                <w:color w:val="000000"/>
                <w:sz w:val="22"/>
                <w:szCs w:val="22"/>
              </w:rPr>
            </w:pPr>
            <w:r>
              <w:rPr>
                <w:color w:val="000000"/>
                <w:sz w:val="22"/>
                <w:szCs w:val="22"/>
              </w:rPr>
              <w:t>6.2</w:t>
            </w:r>
          </w:p>
        </w:tc>
        <w:tc>
          <w:tcPr>
            <w:tcW w:w="801" w:type="pct"/>
            <w:tcBorders>
              <w:top w:val="nil"/>
              <w:left w:val="single" w:sz="4" w:space="0" w:color="auto"/>
              <w:bottom w:val="nil"/>
              <w:right w:val="nil"/>
            </w:tcBorders>
            <w:shd w:val="clear" w:color="auto" w:fill="auto"/>
            <w:noWrap/>
            <w:vAlign w:val="bottom"/>
            <w:hideMark/>
          </w:tcPr>
          <w:p w:rsidR="003B577F" w:rsidRDefault="003B577F">
            <w:pPr>
              <w:jc w:val="right"/>
              <w:rPr>
                <w:sz w:val="22"/>
                <w:szCs w:val="22"/>
              </w:rPr>
            </w:pPr>
            <w:r>
              <w:rPr>
                <w:sz w:val="22"/>
                <w:szCs w:val="22"/>
              </w:rPr>
              <w:t>59.430,00</w:t>
            </w:r>
          </w:p>
        </w:tc>
        <w:tc>
          <w:tcPr>
            <w:tcW w:w="819" w:type="pct"/>
            <w:tcBorders>
              <w:top w:val="nil"/>
              <w:left w:val="single" w:sz="4" w:space="0" w:color="auto"/>
              <w:bottom w:val="nil"/>
              <w:right w:val="single" w:sz="4"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59.430,00</w:t>
            </w:r>
          </w:p>
        </w:tc>
      </w:tr>
      <w:tr w:rsidR="003B577F" w:rsidTr="003B577F">
        <w:trPr>
          <w:trHeight w:val="330"/>
        </w:trPr>
        <w:tc>
          <w:tcPr>
            <w:tcW w:w="122"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2" w:type="pct"/>
            <w:tcBorders>
              <w:top w:val="nil"/>
              <w:left w:val="nil"/>
              <w:bottom w:val="nil"/>
              <w:right w:val="nil"/>
            </w:tcBorders>
            <w:shd w:val="clear" w:color="auto" w:fill="auto"/>
            <w:noWrap/>
            <w:vAlign w:val="bottom"/>
            <w:hideMark/>
          </w:tcPr>
          <w:p w:rsidR="003B577F" w:rsidRDefault="003B577F">
            <w:pPr>
              <w:rPr>
                <w:sz w:val="22"/>
                <w:szCs w:val="22"/>
              </w:rPr>
            </w:pPr>
          </w:p>
        </w:tc>
        <w:tc>
          <w:tcPr>
            <w:tcW w:w="2607" w:type="pct"/>
            <w:tcBorders>
              <w:top w:val="nil"/>
              <w:left w:val="nil"/>
              <w:bottom w:val="nil"/>
              <w:right w:val="nil"/>
            </w:tcBorders>
            <w:shd w:val="clear" w:color="auto" w:fill="auto"/>
            <w:noWrap/>
            <w:vAlign w:val="bottom"/>
            <w:hideMark/>
          </w:tcPr>
          <w:p w:rsidR="003B577F" w:rsidRDefault="003B577F">
            <w:pPr>
              <w:rPr>
                <w:b/>
                <w:bCs/>
                <w:i/>
                <w:iCs/>
                <w:color w:val="000000"/>
                <w:sz w:val="22"/>
                <w:szCs w:val="22"/>
              </w:rPr>
            </w:pPr>
            <w:r>
              <w:rPr>
                <w:b/>
                <w:bCs/>
                <w:i/>
                <w:iCs/>
                <w:color w:val="000000"/>
                <w:sz w:val="22"/>
                <w:szCs w:val="22"/>
              </w:rPr>
              <w:t>Σύνολο</w:t>
            </w:r>
          </w:p>
        </w:tc>
        <w:tc>
          <w:tcPr>
            <w:tcW w:w="530" w:type="pct"/>
            <w:tcBorders>
              <w:top w:val="nil"/>
              <w:left w:val="nil"/>
              <w:bottom w:val="nil"/>
              <w:right w:val="nil"/>
            </w:tcBorders>
            <w:shd w:val="clear" w:color="auto" w:fill="auto"/>
            <w:noWrap/>
            <w:vAlign w:val="bottom"/>
            <w:hideMark/>
          </w:tcPr>
          <w:p w:rsidR="003B577F" w:rsidRDefault="003B577F">
            <w:pPr>
              <w:rPr>
                <w:b/>
                <w:bCs/>
                <w:i/>
                <w:iCs/>
                <w:color w:val="000000"/>
                <w:sz w:val="22"/>
                <w:szCs w:val="22"/>
              </w:rPr>
            </w:pPr>
          </w:p>
        </w:tc>
        <w:tc>
          <w:tcPr>
            <w:tcW w:w="801" w:type="pct"/>
            <w:tcBorders>
              <w:top w:val="single" w:sz="4" w:space="0" w:color="auto"/>
              <w:left w:val="single" w:sz="4" w:space="0" w:color="auto"/>
              <w:bottom w:val="double" w:sz="6" w:space="0" w:color="auto"/>
              <w:right w:val="nil"/>
            </w:tcBorders>
            <w:shd w:val="clear" w:color="auto" w:fill="auto"/>
            <w:noWrap/>
            <w:vAlign w:val="bottom"/>
            <w:hideMark/>
          </w:tcPr>
          <w:p w:rsidR="003B577F" w:rsidRDefault="003B577F">
            <w:pPr>
              <w:jc w:val="right"/>
              <w:rPr>
                <w:b/>
                <w:bCs/>
                <w:i/>
                <w:iCs/>
                <w:sz w:val="22"/>
                <w:szCs w:val="22"/>
              </w:rPr>
            </w:pPr>
            <w:r>
              <w:rPr>
                <w:b/>
                <w:bCs/>
                <w:i/>
                <w:iCs/>
                <w:sz w:val="22"/>
                <w:szCs w:val="22"/>
              </w:rPr>
              <w:t>61.924,42</w:t>
            </w:r>
          </w:p>
        </w:tc>
        <w:tc>
          <w:tcPr>
            <w:tcW w:w="819"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rsidR="003B577F" w:rsidRDefault="003B577F">
            <w:pPr>
              <w:jc w:val="right"/>
              <w:rPr>
                <w:b/>
                <w:bCs/>
                <w:i/>
                <w:iCs/>
                <w:color w:val="000000"/>
                <w:sz w:val="22"/>
                <w:szCs w:val="22"/>
              </w:rPr>
            </w:pPr>
            <w:r>
              <w:rPr>
                <w:b/>
                <w:bCs/>
                <w:i/>
                <w:iCs/>
                <w:color w:val="000000"/>
                <w:sz w:val="22"/>
                <w:szCs w:val="22"/>
              </w:rPr>
              <w:t>62.780,08</w:t>
            </w:r>
          </w:p>
        </w:tc>
      </w:tr>
      <w:tr w:rsidR="003B577F" w:rsidTr="003B577F">
        <w:trPr>
          <w:trHeight w:val="330"/>
        </w:trPr>
        <w:tc>
          <w:tcPr>
            <w:tcW w:w="122"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2729" w:type="pct"/>
            <w:gridSpan w:val="2"/>
            <w:tcBorders>
              <w:top w:val="nil"/>
              <w:left w:val="nil"/>
              <w:bottom w:val="nil"/>
              <w:right w:val="nil"/>
            </w:tcBorders>
            <w:shd w:val="clear" w:color="auto" w:fill="auto"/>
            <w:noWrap/>
            <w:vAlign w:val="bottom"/>
            <w:hideMark/>
          </w:tcPr>
          <w:p w:rsidR="003B577F" w:rsidRDefault="003B577F">
            <w:pPr>
              <w:rPr>
                <w:b/>
                <w:bCs/>
                <w:i/>
                <w:iCs/>
                <w:color w:val="000000"/>
                <w:sz w:val="22"/>
                <w:szCs w:val="22"/>
              </w:rPr>
            </w:pPr>
            <w:r>
              <w:rPr>
                <w:b/>
                <w:bCs/>
                <w:i/>
                <w:iCs/>
                <w:color w:val="000000"/>
                <w:sz w:val="22"/>
                <w:szCs w:val="22"/>
              </w:rPr>
              <w:t>Άυλα πάγια στοιχεία</w:t>
            </w:r>
          </w:p>
        </w:tc>
        <w:tc>
          <w:tcPr>
            <w:tcW w:w="530" w:type="pct"/>
            <w:tcBorders>
              <w:top w:val="nil"/>
              <w:left w:val="nil"/>
              <w:bottom w:val="nil"/>
              <w:right w:val="nil"/>
            </w:tcBorders>
            <w:shd w:val="clear" w:color="auto" w:fill="auto"/>
            <w:noWrap/>
            <w:vAlign w:val="bottom"/>
            <w:hideMark/>
          </w:tcPr>
          <w:p w:rsidR="003B577F" w:rsidRDefault="003B577F">
            <w:pPr>
              <w:rPr>
                <w:b/>
                <w:bCs/>
                <w:i/>
                <w:iCs/>
                <w:color w:val="000000"/>
                <w:sz w:val="22"/>
                <w:szCs w:val="22"/>
              </w:rPr>
            </w:pPr>
          </w:p>
        </w:tc>
        <w:tc>
          <w:tcPr>
            <w:tcW w:w="801"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819" w:type="pct"/>
            <w:tcBorders>
              <w:top w:val="nil"/>
              <w:left w:val="single" w:sz="4" w:space="0" w:color="auto"/>
              <w:bottom w:val="nil"/>
              <w:right w:val="single" w:sz="4" w:space="0" w:color="auto"/>
            </w:tcBorders>
            <w:shd w:val="clear" w:color="auto" w:fill="auto"/>
            <w:noWrap/>
            <w:vAlign w:val="bottom"/>
            <w:hideMark/>
          </w:tcPr>
          <w:p w:rsidR="003B577F" w:rsidRDefault="003B577F">
            <w:pPr>
              <w:rPr>
                <w:color w:val="000000"/>
                <w:sz w:val="22"/>
                <w:szCs w:val="22"/>
              </w:rPr>
            </w:pPr>
            <w:r>
              <w:rPr>
                <w:color w:val="000000"/>
                <w:sz w:val="22"/>
                <w:szCs w:val="22"/>
              </w:rPr>
              <w:t> </w:t>
            </w:r>
          </w:p>
        </w:tc>
      </w:tr>
      <w:tr w:rsidR="003B577F" w:rsidTr="003B577F">
        <w:trPr>
          <w:trHeight w:val="330"/>
        </w:trPr>
        <w:tc>
          <w:tcPr>
            <w:tcW w:w="122"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2" w:type="pct"/>
            <w:tcBorders>
              <w:top w:val="nil"/>
              <w:left w:val="nil"/>
              <w:bottom w:val="nil"/>
              <w:right w:val="nil"/>
            </w:tcBorders>
            <w:shd w:val="clear" w:color="auto" w:fill="auto"/>
            <w:noWrap/>
            <w:vAlign w:val="bottom"/>
            <w:hideMark/>
          </w:tcPr>
          <w:p w:rsidR="003B577F" w:rsidRDefault="003B577F">
            <w:pPr>
              <w:rPr>
                <w:sz w:val="22"/>
                <w:szCs w:val="22"/>
              </w:rPr>
            </w:pPr>
          </w:p>
        </w:tc>
        <w:tc>
          <w:tcPr>
            <w:tcW w:w="2607" w:type="pct"/>
            <w:tcBorders>
              <w:top w:val="nil"/>
              <w:left w:val="nil"/>
              <w:bottom w:val="nil"/>
              <w:right w:val="nil"/>
            </w:tcBorders>
            <w:shd w:val="clear" w:color="auto" w:fill="auto"/>
            <w:noWrap/>
            <w:vAlign w:val="bottom"/>
            <w:hideMark/>
          </w:tcPr>
          <w:p w:rsidR="003B577F" w:rsidRDefault="003B577F">
            <w:pPr>
              <w:rPr>
                <w:color w:val="000000"/>
                <w:sz w:val="22"/>
                <w:szCs w:val="22"/>
              </w:rPr>
            </w:pPr>
            <w:r>
              <w:rPr>
                <w:color w:val="000000"/>
                <w:sz w:val="22"/>
                <w:szCs w:val="22"/>
              </w:rPr>
              <w:t>Λοιπά άυλα</w:t>
            </w:r>
          </w:p>
        </w:tc>
        <w:tc>
          <w:tcPr>
            <w:tcW w:w="530" w:type="pct"/>
            <w:tcBorders>
              <w:top w:val="nil"/>
              <w:left w:val="nil"/>
              <w:bottom w:val="nil"/>
              <w:right w:val="nil"/>
            </w:tcBorders>
            <w:shd w:val="clear" w:color="auto" w:fill="auto"/>
            <w:noWrap/>
            <w:vAlign w:val="bottom"/>
            <w:hideMark/>
          </w:tcPr>
          <w:p w:rsidR="003B577F" w:rsidRDefault="003B577F">
            <w:pPr>
              <w:jc w:val="center"/>
              <w:rPr>
                <w:color w:val="000000"/>
                <w:sz w:val="22"/>
                <w:szCs w:val="22"/>
              </w:rPr>
            </w:pPr>
            <w:r>
              <w:rPr>
                <w:color w:val="000000"/>
                <w:sz w:val="22"/>
                <w:szCs w:val="22"/>
              </w:rPr>
              <w:t>6.3</w:t>
            </w:r>
          </w:p>
        </w:tc>
        <w:tc>
          <w:tcPr>
            <w:tcW w:w="801" w:type="pct"/>
            <w:tcBorders>
              <w:top w:val="nil"/>
              <w:left w:val="single" w:sz="4" w:space="0" w:color="auto"/>
              <w:bottom w:val="nil"/>
              <w:right w:val="nil"/>
            </w:tcBorders>
            <w:shd w:val="clear" w:color="auto" w:fill="auto"/>
            <w:noWrap/>
            <w:vAlign w:val="bottom"/>
            <w:hideMark/>
          </w:tcPr>
          <w:p w:rsidR="003B577F" w:rsidRDefault="003B577F">
            <w:pPr>
              <w:jc w:val="right"/>
              <w:rPr>
                <w:sz w:val="22"/>
                <w:szCs w:val="22"/>
              </w:rPr>
            </w:pPr>
            <w:r>
              <w:rPr>
                <w:sz w:val="22"/>
                <w:szCs w:val="22"/>
              </w:rPr>
              <w:t>10.000,11</w:t>
            </w:r>
          </w:p>
        </w:tc>
        <w:tc>
          <w:tcPr>
            <w:tcW w:w="819" w:type="pct"/>
            <w:tcBorders>
              <w:top w:val="nil"/>
              <w:left w:val="single" w:sz="4" w:space="0" w:color="auto"/>
              <w:bottom w:val="nil"/>
              <w:right w:val="single" w:sz="4"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10.000,11</w:t>
            </w:r>
          </w:p>
        </w:tc>
      </w:tr>
      <w:tr w:rsidR="003B577F" w:rsidTr="003B577F">
        <w:trPr>
          <w:trHeight w:val="330"/>
        </w:trPr>
        <w:tc>
          <w:tcPr>
            <w:tcW w:w="122"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2" w:type="pct"/>
            <w:tcBorders>
              <w:top w:val="nil"/>
              <w:left w:val="nil"/>
              <w:bottom w:val="nil"/>
              <w:right w:val="nil"/>
            </w:tcBorders>
            <w:shd w:val="clear" w:color="auto" w:fill="auto"/>
            <w:noWrap/>
            <w:vAlign w:val="bottom"/>
            <w:hideMark/>
          </w:tcPr>
          <w:p w:rsidR="003B577F" w:rsidRDefault="003B577F">
            <w:pPr>
              <w:rPr>
                <w:sz w:val="22"/>
                <w:szCs w:val="22"/>
              </w:rPr>
            </w:pPr>
          </w:p>
        </w:tc>
        <w:tc>
          <w:tcPr>
            <w:tcW w:w="2607" w:type="pct"/>
            <w:tcBorders>
              <w:top w:val="nil"/>
              <w:left w:val="nil"/>
              <w:bottom w:val="nil"/>
              <w:right w:val="nil"/>
            </w:tcBorders>
            <w:shd w:val="clear" w:color="auto" w:fill="auto"/>
            <w:noWrap/>
            <w:vAlign w:val="bottom"/>
            <w:hideMark/>
          </w:tcPr>
          <w:p w:rsidR="003B577F" w:rsidRDefault="003B577F">
            <w:pPr>
              <w:rPr>
                <w:b/>
                <w:bCs/>
                <w:i/>
                <w:iCs/>
                <w:color w:val="000000"/>
                <w:sz w:val="22"/>
                <w:szCs w:val="22"/>
              </w:rPr>
            </w:pPr>
            <w:r>
              <w:rPr>
                <w:b/>
                <w:bCs/>
                <w:i/>
                <w:iCs/>
                <w:color w:val="000000"/>
                <w:sz w:val="22"/>
                <w:szCs w:val="22"/>
              </w:rPr>
              <w:t>Σύνολο</w:t>
            </w:r>
          </w:p>
        </w:tc>
        <w:tc>
          <w:tcPr>
            <w:tcW w:w="530" w:type="pct"/>
            <w:tcBorders>
              <w:top w:val="nil"/>
              <w:left w:val="nil"/>
              <w:bottom w:val="nil"/>
              <w:right w:val="nil"/>
            </w:tcBorders>
            <w:shd w:val="clear" w:color="auto" w:fill="auto"/>
            <w:noWrap/>
            <w:vAlign w:val="bottom"/>
            <w:hideMark/>
          </w:tcPr>
          <w:p w:rsidR="003B577F" w:rsidRDefault="003B577F">
            <w:pPr>
              <w:rPr>
                <w:b/>
                <w:bCs/>
                <w:i/>
                <w:iCs/>
                <w:color w:val="000000"/>
                <w:sz w:val="22"/>
                <w:szCs w:val="22"/>
              </w:rPr>
            </w:pPr>
          </w:p>
        </w:tc>
        <w:tc>
          <w:tcPr>
            <w:tcW w:w="801" w:type="pct"/>
            <w:tcBorders>
              <w:top w:val="single" w:sz="4" w:space="0" w:color="auto"/>
              <w:left w:val="single" w:sz="4" w:space="0" w:color="auto"/>
              <w:bottom w:val="double" w:sz="6" w:space="0" w:color="auto"/>
              <w:right w:val="nil"/>
            </w:tcBorders>
            <w:shd w:val="clear" w:color="auto" w:fill="auto"/>
            <w:noWrap/>
            <w:vAlign w:val="bottom"/>
            <w:hideMark/>
          </w:tcPr>
          <w:p w:rsidR="003B577F" w:rsidRDefault="003B577F">
            <w:pPr>
              <w:jc w:val="right"/>
              <w:rPr>
                <w:b/>
                <w:bCs/>
                <w:i/>
                <w:iCs/>
                <w:sz w:val="22"/>
                <w:szCs w:val="22"/>
              </w:rPr>
            </w:pPr>
            <w:r>
              <w:rPr>
                <w:b/>
                <w:bCs/>
                <w:i/>
                <w:iCs/>
                <w:sz w:val="22"/>
                <w:szCs w:val="22"/>
              </w:rPr>
              <w:t>10.000,11</w:t>
            </w:r>
          </w:p>
        </w:tc>
        <w:tc>
          <w:tcPr>
            <w:tcW w:w="819"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rsidR="003B577F" w:rsidRDefault="003B577F">
            <w:pPr>
              <w:jc w:val="right"/>
              <w:rPr>
                <w:b/>
                <w:bCs/>
                <w:i/>
                <w:iCs/>
                <w:color w:val="000000"/>
                <w:sz w:val="22"/>
                <w:szCs w:val="22"/>
              </w:rPr>
            </w:pPr>
            <w:r>
              <w:rPr>
                <w:b/>
                <w:bCs/>
                <w:i/>
                <w:iCs/>
                <w:color w:val="000000"/>
                <w:sz w:val="22"/>
                <w:szCs w:val="22"/>
              </w:rPr>
              <w:t>10.000,11</w:t>
            </w:r>
          </w:p>
        </w:tc>
      </w:tr>
      <w:tr w:rsidR="003B577F" w:rsidTr="003B577F">
        <w:trPr>
          <w:trHeight w:val="330"/>
        </w:trPr>
        <w:tc>
          <w:tcPr>
            <w:tcW w:w="122"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2729" w:type="pct"/>
            <w:gridSpan w:val="2"/>
            <w:tcBorders>
              <w:top w:val="nil"/>
              <w:left w:val="nil"/>
              <w:bottom w:val="nil"/>
              <w:right w:val="nil"/>
            </w:tcBorders>
            <w:shd w:val="clear" w:color="auto" w:fill="auto"/>
            <w:noWrap/>
            <w:vAlign w:val="bottom"/>
            <w:hideMark/>
          </w:tcPr>
          <w:p w:rsidR="003B577F" w:rsidRDefault="003B577F">
            <w:pPr>
              <w:rPr>
                <w:b/>
                <w:bCs/>
                <w:i/>
                <w:iCs/>
                <w:color w:val="000000"/>
                <w:sz w:val="22"/>
                <w:szCs w:val="22"/>
              </w:rPr>
            </w:pPr>
            <w:r>
              <w:rPr>
                <w:b/>
                <w:bCs/>
                <w:i/>
                <w:iCs/>
                <w:color w:val="000000"/>
                <w:sz w:val="22"/>
                <w:szCs w:val="22"/>
              </w:rPr>
              <w:t>Χρηματοοικονομικά περιουσιακά στοιχεία</w:t>
            </w:r>
          </w:p>
        </w:tc>
        <w:tc>
          <w:tcPr>
            <w:tcW w:w="530" w:type="pct"/>
            <w:tcBorders>
              <w:top w:val="nil"/>
              <w:left w:val="nil"/>
              <w:bottom w:val="nil"/>
              <w:right w:val="nil"/>
            </w:tcBorders>
            <w:shd w:val="clear" w:color="auto" w:fill="auto"/>
            <w:noWrap/>
            <w:vAlign w:val="bottom"/>
            <w:hideMark/>
          </w:tcPr>
          <w:p w:rsidR="003B577F" w:rsidRDefault="003B577F">
            <w:pPr>
              <w:rPr>
                <w:b/>
                <w:bCs/>
                <w:i/>
                <w:iCs/>
                <w:color w:val="000000"/>
                <w:sz w:val="22"/>
                <w:szCs w:val="22"/>
              </w:rPr>
            </w:pPr>
          </w:p>
        </w:tc>
        <w:tc>
          <w:tcPr>
            <w:tcW w:w="801"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819" w:type="pct"/>
            <w:tcBorders>
              <w:top w:val="nil"/>
              <w:left w:val="single" w:sz="4" w:space="0" w:color="auto"/>
              <w:bottom w:val="nil"/>
              <w:right w:val="single" w:sz="4" w:space="0" w:color="auto"/>
            </w:tcBorders>
            <w:shd w:val="clear" w:color="auto" w:fill="auto"/>
            <w:noWrap/>
            <w:vAlign w:val="bottom"/>
            <w:hideMark/>
          </w:tcPr>
          <w:p w:rsidR="003B577F" w:rsidRDefault="003B577F">
            <w:pPr>
              <w:rPr>
                <w:color w:val="000000"/>
                <w:sz w:val="22"/>
                <w:szCs w:val="22"/>
              </w:rPr>
            </w:pPr>
            <w:r>
              <w:rPr>
                <w:color w:val="000000"/>
                <w:sz w:val="22"/>
                <w:szCs w:val="22"/>
              </w:rPr>
              <w:t> </w:t>
            </w:r>
          </w:p>
        </w:tc>
      </w:tr>
      <w:tr w:rsidR="003B577F" w:rsidTr="003B577F">
        <w:trPr>
          <w:trHeight w:val="330"/>
        </w:trPr>
        <w:tc>
          <w:tcPr>
            <w:tcW w:w="122"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2" w:type="pct"/>
            <w:tcBorders>
              <w:top w:val="nil"/>
              <w:left w:val="nil"/>
              <w:bottom w:val="nil"/>
              <w:right w:val="nil"/>
            </w:tcBorders>
            <w:shd w:val="clear" w:color="auto" w:fill="auto"/>
            <w:noWrap/>
            <w:vAlign w:val="bottom"/>
            <w:hideMark/>
          </w:tcPr>
          <w:p w:rsidR="003B577F" w:rsidRDefault="003B577F">
            <w:pPr>
              <w:rPr>
                <w:sz w:val="22"/>
                <w:szCs w:val="22"/>
              </w:rPr>
            </w:pPr>
          </w:p>
        </w:tc>
        <w:tc>
          <w:tcPr>
            <w:tcW w:w="2607" w:type="pct"/>
            <w:tcBorders>
              <w:top w:val="nil"/>
              <w:left w:val="nil"/>
              <w:bottom w:val="nil"/>
              <w:right w:val="nil"/>
            </w:tcBorders>
            <w:shd w:val="clear" w:color="auto" w:fill="auto"/>
            <w:noWrap/>
            <w:vAlign w:val="bottom"/>
            <w:hideMark/>
          </w:tcPr>
          <w:p w:rsidR="003B577F" w:rsidRDefault="003B577F">
            <w:pPr>
              <w:rPr>
                <w:color w:val="000000"/>
                <w:sz w:val="22"/>
                <w:szCs w:val="22"/>
              </w:rPr>
            </w:pPr>
            <w:r>
              <w:rPr>
                <w:color w:val="000000"/>
                <w:sz w:val="22"/>
                <w:szCs w:val="22"/>
              </w:rPr>
              <w:t>Λοιπά</w:t>
            </w:r>
          </w:p>
        </w:tc>
        <w:tc>
          <w:tcPr>
            <w:tcW w:w="530" w:type="pct"/>
            <w:tcBorders>
              <w:top w:val="nil"/>
              <w:left w:val="nil"/>
              <w:bottom w:val="nil"/>
              <w:right w:val="nil"/>
            </w:tcBorders>
            <w:shd w:val="clear" w:color="auto" w:fill="auto"/>
            <w:noWrap/>
            <w:vAlign w:val="bottom"/>
            <w:hideMark/>
          </w:tcPr>
          <w:p w:rsidR="003B577F" w:rsidRDefault="003B577F">
            <w:pPr>
              <w:rPr>
                <w:color w:val="000000"/>
                <w:sz w:val="22"/>
                <w:szCs w:val="22"/>
              </w:rPr>
            </w:pPr>
          </w:p>
        </w:tc>
        <w:tc>
          <w:tcPr>
            <w:tcW w:w="801" w:type="pct"/>
            <w:tcBorders>
              <w:top w:val="nil"/>
              <w:left w:val="single" w:sz="4" w:space="0" w:color="auto"/>
              <w:bottom w:val="nil"/>
              <w:right w:val="nil"/>
            </w:tcBorders>
            <w:shd w:val="clear" w:color="auto" w:fill="auto"/>
            <w:noWrap/>
            <w:vAlign w:val="bottom"/>
            <w:hideMark/>
          </w:tcPr>
          <w:p w:rsidR="003B577F" w:rsidRDefault="003B577F">
            <w:pPr>
              <w:jc w:val="right"/>
              <w:rPr>
                <w:sz w:val="22"/>
                <w:szCs w:val="22"/>
              </w:rPr>
            </w:pPr>
            <w:r>
              <w:rPr>
                <w:sz w:val="22"/>
                <w:szCs w:val="22"/>
              </w:rPr>
              <w:t>900,00</w:t>
            </w:r>
          </w:p>
        </w:tc>
        <w:tc>
          <w:tcPr>
            <w:tcW w:w="819" w:type="pct"/>
            <w:tcBorders>
              <w:top w:val="nil"/>
              <w:left w:val="single" w:sz="4" w:space="0" w:color="auto"/>
              <w:bottom w:val="nil"/>
              <w:right w:val="single" w:sz="4"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900,00</w:t>
            </w:r>
          </w:p>
        </w:tc>
      </w:tr>
      <w:tr w:rsidR="003B577F" w:rsidTr="003B577F">
        <w:trPr>
          <w:trHeight w:val="330"/>
        </w:trPr>
        <w:tc>
          <w:tcPr>
            <w:tcW w:w="122"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2" w:type="pct"/>
            <w:tcBorders>
              <w:top w:val="nil"/>
              <w:left w:val="nil"/>
              <w:bottom w:val="nil"/>
              <w:right w:val="nil"/>
            </w:tcBorders>
            <w:shd w:val="clear" w:color="auto" w:fill="auto"/>
            <w:noWrap/>
            <w:vAlign w:val="bottom"/>
            <w:hideMark/>
          </w:tcPr>
          <w:p w:rsidR="003B577F" w:rsidRDefault="003B577F">
            <w:pPr>
              <w:rPr>
                <w:sz w:val="22"/>
                <w:szCs w:val="22"/>
              </w:rPr>
            </w:pPr>
          </w:p>
        </w:tc>
        <w:tc>
          <w:tcPr>
            <w:tcW w:w="2607" w:type="pct"/>
            <w:tcBorders>
              <w:top w:val="nil"/>
              <w:left w:val="nil"/>
              <w:bottom w:val="nil"/>
              <w:right w:val="nil"/>
            </w:tcBorders>
            <w:shd w:val="clear" w:color="auto" w:fill="auto"/>
            <w:noWrap/>
            <w:vAlign w:val="bottom"/>
            <w:hideMark/>
          </w:tcPr>
          <w:p w:rsidR="003B577F" w:rsidRDefault="003B577F">
            <w:pPr>
              <w:rPr>
                <w:b/>
                <w:bCs/>
                <w:i/>
                <w:iCs/>
                <w:color w:val="000000"/>
                <w:sz w:val="22"/>
                <w:szCs w:val="22"/>
              </w:rPr>
            </w:pPr>
            <w:r>
              <w:rPr>
                <w:b/>
                <w:bCs/>
                <w:i/>
                <w:iCs/>
                <w:color w:val="000000"/>
                <w:sz w:val="22"/>
                <w:szCs w:val="22"/>
              </w:rPr>
              <w:t>Σύνολο</w:t>
            </w:r>
          </w:p>
        </w:tc>
        <w:tc>
          <w:tcPr>
            <w:tcW w:w="530" w:type="pct"/>
            <w:tcBorders>
              <w:top w:val="nil"/>
              <w:left w:val="nil"/>
              <w:bottom w:val="nil"/>
              <w:right w:val="nil"/>
            </w:tcBorders>
            <w:shd w:val="clear" w:color="auto" w:fill="auto"/>
            <w:noWrap/>
            <w:vAlign w:val="bottom"/>
            <w:hideMark/>
          </w:tcPr>
          <w:p w:rsidR="003B577F" w:rsidRDefault="003B577F">
            <w:pPr>
              <w:rPr>
                <w:b/>
                <w:bCs/>
                <w:i/>
                <w:iCs/>
                <w:color w:val="000000"/>
                <w:sz w:val="22"/>
                <w:szCs w:val="22"/>
              </w:rPr>
            </w:pPr>
          </w:p>
        </w:tc>
        <w:tc>
          <w:tcPr>
            <w:tcW w:w="801" w:type="pct"/>
            <w:tcBorders>
              <w:top w:val="single" w:sz="4" w:space="0" w:color="auto"/>
              <w:left w:val="single" w:sz="4" w:space="0" w:color="auto"/>
              <w:bottom w:val="double" w:sz="6" w:space="0" w:color="auto"/>
              <w:right w:val="nil"/>
            </w:tcBorders>
            <w:shd w:val="clear" w:color="auto" w:fill="auto"/>
            <w:noWrap/>
            <w:vAlign w:val="bottom"/>
            <w:hideMark/>
          </w:tcPr>
          <w:p w:rsidR="003B577F" w:rsidRDefault="003B577F">
            <w:pPr>
              <w:jc w:val="right"/>
              <w:rPr>
                <w:b/>
                <w:bCs/>
                <w:i/>
                <w:iCs/>
                <w:sz w:val="22"/>
                <w:szCs w:val="22"/>
              </w:rPr>
            </w:pPr>
            <w:r>
              <w:rPr>
                <w:b/>
                <w:bCs/>
                <w:i/>
                <w:iCs/>
                <w:sz w:val="22"/>
                <w:szCs w:val="22"/>
              </w:rPr>
              <w:t>900,00</w:t>
            </w:r>
          </w:p>
        </w:tc>
        <w:tc>
          <w:tcPr>
            <w:tcW w:w="819"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rsidR="003B577F" w:rsidRDefault="003B577F">
            <w:pPr>
              <w:jc w:val="right"/>
              <w:rPr>
                <w:b/>
                <w:bCs/>
                <w:i/>
                <w:iCs/>
                <w:color w:val="000000"/>
                <w:sz w:val="22"/>
                <w:szCs w:val="22"/>
              </w:rPr>
            </w:pPr>
            <w:r>
              <w:rPr>
                <w:b/>
                <w:bCs/>
                <w:i/>
                <w:iCs/>
                <w:color w:val="000000"/>
                <w:sz w:val="22"/>
                <w:szCs w:val="22"/>
              </w:rPr>
              <w:t>900,00</w:t>
            </w:r>
          </w:p>
        </w:tc>
      </w:tr>
      <w:tr w:rsidR="003B577F" w:rsidTr="003B577F">
        <w:trPr>
          <w:trHeight w:val="330"/>
        </w:trPr>
        <w:tc>
          <w:tcPr>
            <w:tcW w:w="122"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2729" w:type="pct"/>
            <w:gridSpan w:val="2"/>
            <w:tcBorders>
              <w:top w:val="nil"/>
              <w:left w:val="nil"/>
              <w:bottom w:val="nil"/>
              <w:right w:val="nil"/>
            </w:tcBorders>
            <w:shd w:val="clear" w:color="auto" w:fill="auto"/>
            <w:noWrap/>
            <w:vAlign w:val="bottom"/>
            <w:hideMark/>
          </w:tcPr>
          <w:p w:rsidR="003B577F" w:rsidRDefault="003B577F">
            <w:pPr>
              <w:rPr>
                <w:b/>
                <w:bCs/>
                <w:color w:val="000000"/>
                <w:sz w:val="22"/>
                <w:szCs w:val="22"/>
              </w:rPr>
            </w:pPr>
            <w:r>
              <w:rPr>
                <w:b/>
                <w:bCs/>
                <w:color w:val="000000"/>
                <w:sz w:val="22"/>
                <w:szCs w:val="22"/>
              </w:rPr>
              <w:t xml:space="preserve">Σύνολο μη </w:t>
            </w:r>
            <w:proofErr w:type="spellStart"/>
            <w:r>
              <w:rPr>
                <w:b/>
                <w:bCs/>
                <w:color w:val="000000"/>
                <w:sz w:val="22"/>
                <w:szCs w:val="22"/>
              </w:rPr>
              <w:t>κυκλοφορούντων</w:t>
            </w:r>
            <w:proofErr w:type="spellEnd"/>
          </w:p>
        </w:tc>
        <w:tc>
          <w:tcPr>
            <w:tcW w:w="530" w:type="pct"/>
            <w:tcBorders>
              <w:top w:val="nil"/>
              <w:left w:val="nil"/>
              <w:bottom w:val="nil"/>
              <w:right w:val="nil"/>
            </w:tcBorders>
            <w:shd w:val="clear" w:color="auto" w:fill="auto"/>
            <w:noWrap/>
            <w:vAlign w:val="bottom"/>
            <w:hideMark/>
          </w:tcPr>
          <w:p w:rsidR="003B577F" w:rsidRDefault="003B577F">
            <w:pPr>
              <w:rPr>
                <w:b/>
                <w:bCs/>
                <w:color w:val="000000"/>
                <w:sz w:val="22"/>
                <w:szCs w:val="22"/>
              </w:rPr>
            </w:pPr>
          </w:p>
        </w:tc>
        <w:tc>
          <w:tcPr>
            <w:tcW w:w="801" w:type="pct"/>
            <w:tcBorders>
              <w:top w:val="single" w:sz="4" w:space="0" w:color="auto"/>
              <w:left w:val="single" w:sz="4" w:space="0" w:color="auto"/>
              <w:bottom w:val="double" w:sz="6" w:space="0" w:color="auto"/>
              <w:right w:val="nil"/>
            </w:tcBorders>
            <w:shd w:val="clear" w:color="auto" w:fill="auto"/>
            <w:noWrap/>
            <w:vAlign w:val="bottom"/>
            <w:hideMark/>
          </w:tcPr>
          <w:p w:rsidR="003B577F" w:rsidRDefault="003B577F">
            <w:pPr>
              <w:jc w:val="right"/>
              <w:rPr>
                <w:b/>
                <w:bCs/>
                <w:sz w:val="22"/>
                <w:szCs w:val="22"/>
              </w:rPr>
            </w:pPr>
            <w:r>
              <w:rPr>
                <w:b/>
                <w:bCs/>
                <w:sz w:val="22"/>
                <w:szCs w:val="22"/>
              </w:rPr>
              <w:t>72.824,53</w:t>
            </w:r>
          </w:p>
        </w:tc>
        <w:tc>
          <w:tcPr>
            <w:tcW w:w="819"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73.680,19</w:t>
            </w:r>
          </w:p>
        </w:tc>
      </w:tr>
      <w:tr w:rsidR="003B577F" w:rsidTr="003B577F">
        <w:trPr>
          <w:trHeight w:val="330"/>
        </w:trPr>
        <w:tc>
          <w:tcPr>
            <w:tcW w:w="2851" w:type="pct"/>
            <w:gridSpan w:val="3"/>
            <w:tcBorders>
              <w:top w:val="nil"/>
              <w:left w:val="single" w:sz="4" w:space="0" w:color="auto"/>
              <w:bottom w:val="nil"/>
              <w:right w:val="nil"/>
            </w:tcBorders>
            <w:shd w:val="clear" w:color="auto" w:fill="auto"/>
            <w:noWrap/>
            <w:vAlign w:val="bottom"/>
            <w:hideMark/>
          </w:tcPr>
          <w:p w:rsidR="003B577F" w:rsidRDefault="003B577F">
            <w:pPr>
              <w:rPr>
                <w:b/>
                <w:bCs/>
                <w:color w:val="000000"/>
                <w:sz w:val="22"/>
                <w:szCs w:val="22"/>
              </w:rPr>
            </w:pPr>
            <w:proofErr w:type="spellStart"/>
            <w:r>
              <w:rPr>
                <w:b/>
                <w:bCs/>
                <w:color w:val="000000"/>
                <w:sz w:val="22"/>
                <w:szCs w:val="22"/>
              </w:rPr>
              <w:t>Κυκλοφορούντα</w:t>
            </w:r>
            <w:proofErr w:type="spellEnd"/>
            <w:r>
              <w:rPr>
                <w:b/>
                <w:bCs/>
                <w:color w:val="000000"/>
                <w:sz w:val="22"/>
                <w:szCs w:val="22"/>
              </w:rPr>
              <w:t xml:space="preserve"> περιουσιακά στοιχεία</w:t>
            </w:r>
          </w:p>
        </w:tc>
        <w:tc>
          <w:tcPr>
            <w:tcW w:w="530" w:type="pct"/>
            <w:tcBorders>
              <w:top w:val="nil"/>
              <w:left w:val="nil"/>
              <w:bottom w:val="nil"/>
              <w:right w:val="nil"/>
            </w:tcBorders>
            <w:shd w:val="clear" w:color="auto" w:fill="auto"/>
            <w:noWrap/>
            <w:vAlign w:val="bottom"/>
            <w:hideMark/>
          </w:tcPr>
          <w:p w:rsidR="003B577F" w:rsidRDefault="003B577F">
            <w:pPr>
              <w:rPr>
                <w:b/>
                <w:bCs/>
                <w:color w:val="000000"/>
                <w:sz w:val="22"/>
                <w:szCs w:val="22"/>
              </w:rPr>
            </w:pPr>
          </w:p>
        </w:tc>
        <w:tc>
          <w:tcPr>
            <w:tcW w:w="801"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819" w:type="pct"/>
            <w:tcBorders>
              <w:top w:val="nil"/>
              <w:left w:val="single" w:sz="4" w:space="0" w:color="auto"/>
              <w:bottom w:val="nil"/>
              <w:right w:val="single" w:sz="4" w:space="0" w:color="auto"/>
            </w:tcBorders>
            <w:shd w:val="clear" w:color="auto" w:fill="auto"/>
            <w:noWrap/>
            <w:vAlign w:val="bottom"/>
            <w:hideMark/>
          </w:tcPr>
          <w:p w:rsidR="003B577F" w:rsidRDefault="003B577F">
            <w:pPr>
              <w:rPr>
                <w:color w:val="000000"/>
                <w:sz w:val="22"/>
                <w:szCs w:val="22"/>
              </w:rPr>
            </w:pPr>
            <w:r>
              <w:rPr>
                <w:color w:val="000000"/>
                <w:sz w:val="22"/>
                <w:szCs w:val="22"/>
              </w:rPr>
              <w:t> </w:t>
            </w:r>
          </w:p>
        </w:tc>
      </w:tr>
      <w:tr w:rsidR="003B577F" w:rsidTr="003B577F">
        <w:trPr>
          <w:trHeight w:val="330"/>
        </w:trPr>
        <w:tc>
          <w:tcPr>
            <w:tcW w:w="122"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2729" w:type="pct"/>
            <w:gridSpan w:val="2"/>
            <w:tcBorders>
              <w:top w:val="nil"/>
              <w:left w:val="nil"/>
              <w:bottom w:val="nil"/>
              <w:right w:val="nil"/>
            </w:tcBorders>
            <w:shd w:val="clear" w:color="auto" w:fill="auto"/>
            <w:noWrap/>
            <w:vAlign w:val="bottom"/>
            <w:hideMark/>
          </w:tcPr>
          <w:p w:rsidR="003B577F" w:rsidRDefault="003B577F">
            <w:pPr>
              <w:rPr>
                <w:b/>
                <w:bCs/>
                <w:i/>
                <w:iCs/>
                <w:color w:val="000000"/>
                <w:sz w:val="22"/>
                <w:szCs w:val="22"/>
              </w:rPr>
            </w:pPr>
            <w:r>
              <w:rPr>
                <w:b/>
                <w:bCs/>
                <w:i/>
                <w:iCs/>
                <w:color w:val="000000"/>
                <w:sz w:val="22"/>
                <w:szCs w:val="22"/>
              </w:rPr>
              <w:t>Χρηματοοικονομικά στοιχεία και προκαταβολές</w:t>
            </w:r>
          </w:p>
        </w:tc>
        <w:tc>
          <w:tcPr>
            <w:tcW w:w="530" w:type="pct"/>
            <w:tcBorders>
              <w:top w:val="nil"/>
              <w:left w:val="nil"/>
              <w:bottom w:val="nil"/>
              <w:right w:val="nil"/>
            </w:tcBorders>
            <w:shd w:val="clear" w:color="auto" w:fill="auto"/>
            <w:noWrap/>
            <w:vAlign w:val="bottom"/>
            <w:hideMark/>
          </w:tcPr>
          <w:p w:rsidR="003B577F" w:rsidRDefault="003B577F">
            <w:pPr>
              <w:rPr>
                <w:b/>
                <w:bCs/>
                <w:i/>
                <w:iCs/>
                <w:color w:val="000000"/>
                <w:sz w:val="22"/>
                <w:szCs w:val="22"/>
              </w:rPr>
            </w:pPr>
          </w:p>
        </w:tc>
        <w:tc>
          <w:tcPr>
            <w:tcW w:w="801"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819" w:type="pct"/>
            <w:tcBorders>
              <w:top w:val="nil"/>
              <w:left w:val="single" w:sz="4" w:space="0" w:color="auto"/>
              <w:bottom w:val="nil"/>
              <w:right w:val="single" w:sz="4" w:space="0" w:color="auto"/>
            </w:tcBorders>
            <w:shd w:val="clear" w:color="auto" w:fill="auto"/>
            <w:noWrap/>
            <w:vAlign w:val="bottom"/>
            <w:hideMark/>
          </w:tcPr>
          <w:p w:rsidR="003B577F" w:rsidRDefault="003B577F">
            <w:pPr>
              <w:rPr>
                <w:color w:val="000000"/>
                <w:sz w:val="22"/>
                <w:szCs w:val="22"/>
              </w:rPr>
            </w:pPr>
            <w:r>
              <w:rPr>
                <w:color w:val="000000"/>
                <w:sz w:val="22"/>
                <w:szCs w:val="22"/>
              </w:rPr>
              <w:t> </w:t>
            </w:r>
          </w:p>
        </w:tc>
      </w:tr>
      <w:tr w:rsidR="003B577F" w:rsidTr="003B577F">
        <w:trPr>
          <w:trHeight w:val="330"/>
        </w:trPr>
        <w:tc>
          <w:tcPr>
            <w:tcW w:w="122"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2" w:type="pct"/>
            <w:tcBorders>
              <w:top w:val="nil"/>
              <w:left w:val="nil"/>
              <w:bottom w:val="nil"/>
              <w:right w:val="nil"/>
            </w:tcBorders>
            <w:shd w:val="clear" w:color="auto" w:fill="auto"/>
            <w:noWrap/>
            <w:vAlign w:val="bottom"/>
            <w:hideMark/>
          </w:tcPr>
          <w:p w:rsidR="003B577F" w:rsidRDefault="003B577F">
            <w:pPr>
              <w:rPr>
                <w:sz w:val="22"/>
                <w:szCs w:val="22"/>
              </w:rPr>
            </w:pPr>
          </w:p>
        </w:tc>
        <w:tc>
          <w:tcPr>
            <w:tcW w:w="2607" w:type="pct"/>
            <w:tcBorders>
              <w:top w:val="nil"/>
              <w:left w:val="nil"/>
              <w:bottom w:val="nil"/>
              <w:right w:val="nil"/>
            </w:tcBorders>
            <w:shd w:val="clear" w:color="auto" w:fill="auto"/>
            <w:noWrap/>
            <w:vAlign w:val="bottom"/>
            <w:hideMark/>
          </w:tcPr>
          <w:p w:rsidR="003B577F" w:rsidRDefault="003B577F">
            <w:pPr>
              <w:rPr>
                <w:color w:val="000000"/>
                <w:sz w:val="22"/>
                <w:szCs w:val="22"/>
              </w:rPr>
            </w:pPr>
            <w:r>
              <w:rPr>
                <w:color w:val="000000"/>
                <w:sz w:val="22"/>
                <w:szCs w:val="22"/>
              </w:rPr>
              <w:t>Εμπορικές απαιτήσεις</w:t>
            </w:r>
          </w:p>
        </w:tc>
        <w:tc>
          <w:tcPr>
            <w:tcW w:w="530" w:type="pct"/>
            <w:tcBorders>
              <w:top w:val="nil"/>
              <w:left w:val="nil"/>
              <w:bottom w:val="nil"/>
              <w:right w:val="nil"/>
            </w:tcBorders>
            <w:shd w:val="clear" w:color="auto" w:fill="auto"/>
            <w:noWrap/>
            <w:vAlign w:val="bottom"/>
            <w:hideMark/>
          </w:tcPr>
          <w:p w:rsidR="003B577F" w:rsidRDefault="003B577F">
            <w:pPr>
              <w:jc w:val="center"/>
              <w:rPr>
                <w:color w:val="000000"/>
                <w:sz w:val="22"/>
                <w:szCs w:val="22"/>
              </w:rPr>
            </w:pPr>
            <w:r>
              <w:rPr>
                <w:color w:val="000000"/>
                <w:sz w:val="22"/>
                <w:szCs w:val="22"/>
              </w:rPr>
              <w:t>7.2.1</w:t>
            </w:r>
          </w:p>
        </w:tc>
        <w:tc>
          <w:tcPr>
            <w:tcW w:w="801" w:type="pct"/>
            <w:tcBorders>
              <w:top w:val="nil"/>
              <w:left w:val="single" w:sz="4" w:space="0" w:color="auto"/>
              <w:bottom w:val="nil"/>
              <w:right w:val="nil"/>
            </w:tcBorders>
            <w:shd w:val="clear" w:color="auto" w:fill="auto"/>
            <w:noWrap/>
            <w:vAlign w:val="bottom"/>
            <w:hideMark/>
          </w:tcPr>
          <w:p w:rsidR="003B577F" w:rsidRDefault="003B577F">
            <w:pPr>
              <w:jc w:val="right"/>
              <w:rPr>
                <w:sz w:val="22"/>
                <w:szCs w:val="22"/>
              </w:rPr>
            </w:pPr>
            <w:r>
              <w:rPr>
                <w:sz w:val="22"/>
                <w:szCs w:val="22"/>
              </w:rPr>
              <w:t>248,00</w:t>
            </w:r>
          </w:p>
        </w:tc>
        <w:tc>
          <w:tcPr>
            <w:tcW w:w="819" w:type="pct"/>
            <w:tcBorders>
              <w:top w:val="nil"/>
              <w:left w:val="single" w:sz="4" w:space="0" w:color="auto"/>
              <w:bottom w:val="nil"/>
              <w:right w:val="single" w:sz="4"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124,00</w:t>
            </w:r>
          </w:p>
        </w:tc>
      </w:tr>
      <w:tr w:rsidR="003B577F" w:rsidTr="003B577F">
        <w:trPr>
          <w:trHeight w:val="330"/>
        </w:trPr>
        <w:tc>
          <w:tcPr>
            <w:tcW w:w="122"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2" w:type="pct"/>
            <w:tcBorders>
              <w:top w:val="nil"/>
              <w:left w:val="nil"/>
              <w:bottom w:val="nil"/>
              <w:right w:val="nil"/>
            </w:tcBorders>
            <w:shd w:val="clear" w:color="auto" w:fill="auto"/>
            <w:noWrap/>
            <w:vAlign w:val="bottom"/>
            <w:hideMark/>
          </w:tcPr>
          <w:p w:rsidR="003B577F" w:rsidRDefault="003B577F">
            <w:pPr>
              <w:rPr>
                <w:sz w:val="22"/>
                <w:szCs w:val="22"/>
              </w:rPr>
            </w:pPr>
          </w:p>
        </w:tc>
        <w:tc>
          <w:tcPr>
            <w:tcW w:w="2607" w:type="pct"/>
            <w:tcBorders>
              <w:top w:val="nil"/>
              <w:left w:val="nil"/>
              <w:bottom w:val="nil"/>
              <w:right w:val="nil"/>
            </w:tcBorders>
            <w:shd w:val="clear" w:color="auto" w:fill="auto"/>
            <w:noWrap/>
            <w:vAlign w:val="bottom"/>
            <w:hideMark/>
          </w:tcPr>
          <w:p w:rsidR="003B577F" w:rsidRDefault="003B577F">
            <w:pPr>
              <w:rPr>
                <w:color w:val="000000"/>
                <w:sz w:val="22"/>
                <w:szCs w:val="22"/>
              </w:rPr>
            </w:pPr>
            <w:r>
              <w:rPr>
                <w:color w:val="000000"/>
                <w:sz w:val="22"/>
                <w:szCs w:val="22"/>
              </w:rPr>
              <w:t>Δουλευμένα έσοδα περιόδου</w:t>
            </w:r>
          </w:p>
        </w:tc>
        <w:tc>
          <w:tcPr>
            <w:tcW w:w="530" w:type="pct"/>
            <w:tcBorders>
              <w:top w:val="nil"/>
              <w:left w:val="nil"/>
              <w:bottom w:val="nil"/>
              <w:right w:val="nil"/>
            </w:tcBorders>
            <w:shd w:val="clear" w:color="auto" w:fill="auto"/>
            <w:noWrap/>
            <w:vAlign w:val="bottom"/>
            <w:hideMark/>
          </w:tcPr>
          <w:p w:rsidR="003B577F" w:rsidRDefault="003B577F">
            <w:pPr>
              <w:rPr>
                <w:color w:val="000000"/>
                <w:sz w:val="22"/>
                <w:szCs w:val="22"/>
              </w:rPr>
            </w:pPr>
          </w:p>
        </w:tc>
        <w:tc>
          <w:tcPr>
            <w:tcW w:w="801" w:type="pct"/>
            <w:tcBorders>
              <w:top w:val="nil"/>
              <w:left w:val="single" w:sz="4" w:space="0" w:color="auto"/>
              <w:bottom w:val="nil"/>
              <w:right w:val="nil"/>
            </w:tcBorders>
            <w:shd w:val="clear" w:color="auto" w:fill="auto"/>
            <w:noWrap/>
            <w:vAlign w:val="bottom"/>
            <w:hideMark/>
          </w:tcPr>
          <w:p w:rsidR="003B577F" w:rsidRDefault="003B577F">
            <w:pPr>
              <w:jc w:val="right"/>
              <w:rPr>
                <w:sz w:val="22"/>
                <w:szCs w:val="22"/>
              </w:rPr>
            </w:pPr>
            <w:r>
              <w:rPr>
                <w:sz w:val="22"/>
                <w:szCs w:val="22"/>
              </w:rPr>
              <w:t>804,80</w:t>
            </w:r>
          </w:p>
        </w:tc>
        <w:tc>
          <w:tcPr>
            <w:tcW w:w="819" w:type="pct"/>
            <w:tcBorders>
              <w:top w:val="nil"/>
              <w:left w:val="single" w:sz="4" w:space="0" w:color="auto"/>
              <w:bottom w:val="nil"/>
              <w:right w:val="single" w:sz="4"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0,00</w:t>
            </w:r>
          </w:p>
        </w:tc>
      </w:tr>
      <w:tr w:rsidR="003B577F" w:rsidTr="003B577F">
        <w:trPr>
          <w:trHeight w:val="330"/>
        </w:trPr>
        <w:tc>
          <w:tcPr>
            <w:tcW w:w="122"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2" w:type="pct"/>
            <w:tcBorders>
              <w:top w:val="nil"/>
              <w:left w:val="nil"/>
              <w:bottom w:val="nil"/>
              <w:right w:val="nil"/>
            </w:tcBorders>
            <w:shd w:val="clear" w:color="auto" w:fill="auto"/>
            <w:noWrap/>
            <w:vAlign w:val="bottom"/>
            <w:hideMark/>
          </w:tcPr>
          <w:p w:rsidR="003B577F" w:rsidRDefault="003B577F">
            <w:pPr>
              <w:rPr>
                <w:sz w:val="22"/>
                <w:szCs w:val="22"/>
              </w:rPr>
            </w:pPr>
          </w:p>
        </w:tc>
        <w:tc>
          <w:tcPr>
            <w:tcW w:w="2607" w:type="pct"/>
            <w:tcBorders>
              <w:top w:val="nil"/>
              <w:left w:val="nil"/>
              <w:bottom w:val="nil"/>
              <w:right w:val="nil"/>
            </w:tcBorders>
            <w:shd w:val="clear" w:color="auto" w:fill="auto"/>
            <w:noWrap/>
            <w:vAlign w:val="bottom"/>
            <w:hideMark/>
          </w:tcPr>
          <w:p w:rsidR="003B577F" w:rsidRDefault="003B577F">
            <w:pPr>
              <w:rPr>
                <w:color w:val="000000"/>
                <w:sz w:val="22"/>
                <w:szCs w:val="22"/>
              </w:rPr>
            </w:pPr>
            <w:r>
              <w:rPr>
                <w:color w:val="000000"/>
                <w:sz w:val="22"/>
                <w:szCs w:val="22"/>
              </w:rPr>
              <w:t>Λοιπές απαιτήσεις</w:t>
            </w:r>
          </w:p>
        </w:tc>
        <w:tc>
          <w:tcPr>
            <w:tcW w:w="530" w:type="pct"/>
            <w:tcBorders>
              <w:top w:val="nil"/>
              <w:left w:val="nil"/>
              <w:bottom w:val="nil"/>
              <w:right w:val="nil"/>
            </w:tcBorders>
            <w:shd w:val="clear" w:color="auto" w:fill="auto"/>
            <w:noWrap/>
            <w:vAlign w:val="bottom"/>
            <w:hideMark/>
          </w:tcPr>
          <w:p w:rsidR="003B577F" w:rsidRDefault="003B577F">
            <w:pPr>
              <w:jc w:val="center"/>
              <w:rPr>
                <w:color w:val="000000"/>
                <w:sz w:val="22"/>
                <w:szCs w:val="22"/>
              </w:rPr>
            </w:pPr>
            <w:r>
              <w:rPr>
                <w:color w:val="000000"/>
                <w:sz w:val="22"/>
                <w:szCs w:val="22"/>
              </w:rPr>
              <w:t>7.2.2</w:t>
            </w:r>
          </w:p>
        </w:tc>
        <w:tc>
          <w:tcPr>
            <w:tcW w:w="801" w:type="pct"/>
            <w:tcBorders>
              <w:top w:val="nil"/>
              <w:left w:val="single" w:sz="4" w:space="0" w:color="auto"/>
              <w:bottom w:val="nil"/>
              <w:right w:val="nil"/>
            </w:tcBorders>
            <w:shd w:val="clear" w:color="auto" w:fill="auto"/>
            <w:noWrap/>
            <w:vAlign w:val="bottom"/>
            <w:hideMark/>
          </w:tcPr>
          <w:p w:rsidR="003B577F" w:rsidRDefault="003B577F">
            <w:pPr>
              <w:jc w:val="right"/>
              <w:rPr>
                <w:sz w:val="22"/>
                <w:szCs w:val="22"/>
              </w:rPr>
            </w:pPr>
            <w:r>
              <w:rPr>
                <w:sz w:val="22"/>
                <w:szCs w:val="22"/>
              </w:rPr>
              <w:t>35.201,68</w:t>
            </w:r>
          </w:p>
        </w:tc>
        <w:tc>
          <w:tcPr>
            <w:tcW w:w="819" w:type="pct"/>
            <w:tcBorders>
              <w:top w:val="nil"/>
              <w:left w:val="single" w:sz="4" w:space="0" w:color="auto"/>
              <w:bottom w:val="nil"/>
              <w:right w:val="single" w:sz="4"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34.825,41</w:t>
            </w:r>
          </w:p>
        </w:tc>
      </w:tr>
      <w:tr w:rsidR="003B577F" w:rsidTr="003B577F">
        <w:trPr>
          <w:trHeight w:val="330"/>
        </w:trPr>
        <w:tc>
          <w:tcPr>
            <w:tcW w:w="122"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2" w:type="pct"/>
            <w:tcBorders>
              <w:top w:val="nil"/>
              <w:left w:val="nil"/>
              <w:bottom w:val="nil"/>
              <w:right w:val="nil"/>
            </w:tcBorders>
            <w:shd w:val="clear" w:color="auto" w:fill="auto"/>
            <w:noWrap/>
            <w:vAlign w:val="bottom"/>
            <w:hideMark/>
          </w:tcPr>
          <w:p w:rsidR="003B577F" w:rsidRDefault="003B577F">
            <w:pPr>
              <w:rPr>
                <w:sz w:val="22"/>
                <w:szCs w:val="22"/>
              </w:rPr>
            </w:pPr>
          </w:p>
        </w:tc>
        <w:tc>
          <w:tcPr>
            <w:tcW w:w="2607" w:type="pct"/>
            <w:tcBorders>
              <w:top w:val="nil"/>
              <w:left w:val="nil"/>
              <w:bottom w:val="nil"/>
              <w:right w:val="nil"/>
            </w:tcBorders>
            <w:shd w:val="clear" w:color="auto" w:fill="auto"/>
            <w:noWrap/>
            <w:vAlign w:val="bottom"/>
            <w:hideMark/>
          </w:tcPr>
          <w:p w:rsidR="003B577F" w:rsidRDefault="003B577F">
            <w:pPr>
              <w:rPr>
                <w:color w:val="000000"/>
                <w:sz w:val="22"/>
                <w:szCs w:val="22"/>
              </w:rPr>
            </w:pPr>
            <w:r>
              <w:rPr>
                <w:color w:val="000000"/>
                <w:sz w:val="22"/>
                <w:szCs w:val="22"/>
              </w:rPr>
              <w:t>Προπληρωμένα έξοδα</w:t>
            </w:r>
          </w:p>
        </w:tc>
        <w:tc>
          <w:tcPr>
            <w:tcW w:w="530" w:type="pct"/>
            <w:tcBorders>
              <w:top w:val="nil"/>
              <w:left w:val="nil"/>
              <w:bottom w:val="nil"/>
              <w:right w:val="nil"/>
            </w:tcBorders>
            <w:shd w:val="clear" w:color="auto" w:fill="auto"/>
            <w:noWrap/>
            <w:vAlign w:val="bottom"/>
            <w:hideMark/>
          </w:tcPr>
          <w:p w:rsidR="003B577F" w:rsidRDefault="003B577F">
            <w:pPr>
              <w:rPr>
                <w:color w:val="000000"/>
                <w:sz w:val="22"/>
                <w:szCs w:val="22"/>
              </w:rPr>
            </w:pPr>
          </w:p>
        </w:tc>
        <w:tc>
          <w:tcPr>
            <w:tcW w:w="801" w:type="pct"/>
            <w:tcBorders>
              <w:top w:val="nil"/>
              <w:left w:val="single" w:sz="4" w:space="0" w:color="auto"/>
              <w:bottom w:val="nil"/>
              <w:right w:val="nil"/>
            </w:tcBorders>
            <w:shd w:val="clear" w:color="auto" w:fill="auto"/>
            <w:noWrap/>
            <w:vAlign w:val="bottom"/>
            <w:hideMark/>
          </w:tcPr>
          <w:p w:rsidR="003B577F" w:rsidRDefault="003B577F">
            <w:pPr>
              <w:jc w:val="right"/>
              <w:rPr>
                <w:sz w:val="22"/>
                <w:szCs w:val="22"/>
              </w:rPr>
            </w:pPr>
            <w:r>
              <w:rPr>
                <w:sz w:val="22"/>
                <w:szCs w:val="22"/>
              </w:rPr>
              <w:t>0,00</w:t>
            </w:r>
          </w:p>
        </w:tc>
        <w:tc>
          <w:tcPr>
            <w:tcW w:w="819" w:type="pct"/>
            <w:tcBorders>
              <w:top w:val="nil"/>
              <w:left w:val="single" w:sz="4" w:space="0" w:color="auto"/>
              <w:bottom w:val="nil"/>
              <w:right w:val="single" w:sz="4"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50,00</w:t>
            </w:r>
          </w:p>
        </w:tc>
      </w:tr>
      <w:tr w:rsidR="003B577F" w:rsidTr="003B577F">
        <w:trPr>
          <w:trHeight w:val="330"/>
        </w:trPr>
        <w:tc>
          <w:tcPr>
            <w:tcW w:w="122"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2" w:type="pct"/>
            <w:tcBorders>
              <w:top w:val="nil"/>
              <w:left w:val="nil"/>
              <w:bottom w:val="nil"/>
              <w:right w:val="nil"/>
            </w:tcBorders>
            <w:shd w:val="clear" w:color="auto" w:fill="auto"/>
            <w:noWrap/>
            <w:vAlign w:val="bottom"/>
            <w:hideMark/>
          </w:tcPr>
          <w:p w:rsidR="003B577F" w:rsidRDefault="003B577F">
            <w:pPr>
              <w:rPr>
                <w:sz w:val="22"/>
                <w:szCs w:val="22"/>
              </w:rPr>
            </w:pPr>
          </w:p>
        </w:tc>
        <w:tc>
          <w:tcPr>
            <w:tcW w:w="2607" w:type="pct"/>
            <w:tcBorders>
              <w:top w:val="nil"/>
              <w:left w:val="nil"/>
              <w:bottom w:val="nil"/>
              <w:right w:val="nil"/>
            </w:tcBorders>
            <w:shd w:val="clear" w:color="auto" w:fill="auto"/>
            <w:noWrap/>
            <w:vAlign w:val="bottom"/>
            <w:hideMark/>
          </w:tcPr>
          <w:p w:rsidR="003B577F" w:rsidRDefault="003B577F">
            <w:pPr>
              <w:rPr>
                <w:color w:val="000000"/>
                <w:sz w:val="22"/>
                <w:szCs w:val="22"/>
              </w:rPr>
            </w:pPr>
            <w:r>
              <w:rPr>
                <w:color w:val="000000"/>
                <w:sz w:val="22"/>
                <w:szCs w:val="22"/>
              </w:rPr>
              <w:t>Ταμειακά διαθέσιμα και ισοδύναμα</w:t>
            </w:r>
          </w:p>
        </w:tc>
        <w:tc>
          <w:tcPr>
            <w:tcW w:w="530" w:type="pct"/>
            <w:tcBorders>
              <w:top w:val="nil"/>
              <w:left w:val="nil"/>
              <w:bottom w:val="nil"/>
              <w:right w:val="nil"/>
            </w:tcBorders>
            <w:shd w:val="clear" w:color="auto" w:fill="auto"/>
            <w:noWrap/>
            <w:vAlign w:val="bottom"/>
            <w:hideMark/>
          </w:tcPr>
          <w:p w:rsidR="003B577F" w:rsidRDefault="003B577F">
            <w:pPr>
              <w:jc w:val="center"/>
              <w:rPr>
                <w:color w:val="000000"/>
                <w:sz w:val="22"/>
                <w:szCs w:val="22"/>
              </w:rPr>
            </w:pPr>
            <w:r>
              <w:rPr>
                <w:color w:val="000000"/>
                <w:sz w:val="22"/>
                <w:szCs w:val="22"/>
              </w:rPr>
              <w:t>7.2.3</w:t>
            </w:r>
          </w:p>
        </w:tc>
        <w:tc>
          <w:tcPr>
            <w:tcW w:w="801" w:type="pct"/>
            <w:tcBorders>
              <w:top w:val="nil"/>
              <w:left w:val="single" w:sz="4" w:space="0" w:color="auto"/>
              <w:bottom w:val="nil"/>
              <w:right w:val="nil"/>
            </w:tcBorders>
            <w:shd w:val="clear" w:color="auto" w:fill="auto"/>
            <w:noWrap/>
            <w:vAlign w:val="bottom"/>
            <w:hideMark/>
          </w:tcPr>
          <w:p w:rsidR="003B577F" w:rsidRDefault="003B577F">
            <w:pPr>
              <w:jc w:val="right"/>
              <w:rPr>
                <w:sz w:val="22"/>
                <w:szCs w:val="22"/>
              </w:rPr>
            </w:pPr>
            <w:r>
              <w:rPr>
                <w:sz w:val="22"/>
                <w:szCs w:val="22"/>
              </w:rPr>
              <w:t>5.083,29</w:t>
            </w:r>
          </w:p>
        </w:tc>
        <w:tc>
          <w:tcPr>
            <w:tcW w:w="819" w:type="pct"/>
            <w:tcBorders>
              <w:top w:val="nil"/>
              <w:left w:val="single" w:sz="4" w:space="0" w:color="auto"/>
              <w:bottom w:val="nil"/>
              <w:right w:val="single" w:sz="4"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6.258,12</w:t>
            </w:r>
          </w:p>
        </w:tc>
      </w:tr>
      <w:tr w:rsidR="003B577F" w:rsidTr="003B577F">
        <w:trPr>
          <w:trHeight w:val="330"/>
        </w:trPr>
        <w:tc>
          <w:tcPr>
            <w:tcW w:w="122"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2" w:type="pct"/>
            <w:tcBorders>
              <w:top w:val="nil"/>
              <w:left w:val="nil"/>
              <w:bottom w:val="nil"/>
              <w:right w:val="nil"/>
            </w:tcBorders>
            <w:shd w:val="clear" w:color="auto" w:fill="auto"/>
            <w:noWrap/>
            <w:vAlign w:val="bottom"/>
            <w:hideMark/>
          </w:tcPr>
          <w:p w:rsidR="003B577F" w:rsidRDefault="003B577F">
            <w:pPr>
              <w:rPr>
                <w:sz w:val="22"/>
                <w:szCs w:val="22"/>
              </w:rPr>
            </w:pPr>
          </w:p>
        </w:tc>
        <w:tc>
          <w:tcPr>
            <w:tcW w:w="2607" w:type="pct"/>
            <w:tcBorders>
              <w:top w:val="nil"/>
              <w:left w:val="nil"/>
              <w:bottom w:val="nil"/>
              <w:right w:val="nil"/>
            </w:tcBorders>
            <w:shd w:val="clear" w:color="auto" w:fill="auto"/>
            <w:noWrap/>
            <w:vAlign w:val="bottom"/>
            <w:hideMark/>
          </w:tcPr>
          <w:p w:rsidR="003B577F" w:rsidRDefault="003B577F">
            <w:pPr>
              <w:rPr>
                <w:b/>
                <w:bCs/>
                <w:i/>
                <w:iCs/>
                <w:color w:val="000000"/>
                <w:sz w:val="22"/>
                <w:szCs w:val="22"/>
              </w:rPr>
            </w:pPr>
            <w:r>
              <w:rPr>
                <w:b/>
                <w:bCs/>
                <w:i/>
                <w:iCs/>
                <w:color w:val="000000"/>
                <w:sz w:val="22"/>
                <w:szCs w:val="22"/>
              </w:rPr>
              <w:t>Σύνολο</w:t>
            </w:r>
          </w:p>
        </w:tc>
        <w:tc>
          <w:tcPr>
            <w:tcW w:w="530" w:type="pct"/>
            <w:tcBorders>
              <w:top w:val="nil"/>
              <w:left w:val="nil"/>
              <w:bottom w:val="nil"/>
              <w:right w:val="nil"/>
            </w:tcBorders>
            <w:shd w:val="clear" w:color="auto" w:fill="auto"/>
            <w:noWrap/>
            <w:vAlign w:val="bottom"/>
            <w:hideMark/>
          </w:tcPr>
          <w:p w:rsidR="003B577F" w:rsidRDefault="003B577F">
            <w:pPr>
              <w:rPr>
                <w:b/>
                <w:bCs/>
                <w:i/>
                <w:iCs/>
                <w:color w:val="000000"/>
                <w:sz w:val="22"/>
                <w:szCs w:val="22"/>
              </w:rPr>
            </w:pPr>
          </w:p>
        </w:tc>
        <w:tc>
          <w:tcPr>
            <w:tcW w:w="801" w:type="pct"/>
            <w:tcBorders>
              <w:top w:val="single" w:sz="4" w:space="0" w:color="auto"/>
              <w:left w:val="single" w:sz="4" w:space="0" w:color="auto"/>
              <w:bottom w:val="double" w:sz="6" w:space="0" w:color="auto"/>
              <w:right w:val="nil"/>
            </w:tcBorders>
            <w:shd w:val="clear" w:color="auto" w:fill="auto"/>
            <w:noWrap/>
            <w:vAlign w:val="bottom"/>
            <w:hideMark/>
          </w:tcPr>
          <w:p w:rsidR="003B577F" w:rsidRDefault="003B577F">
            <w:pPr>
              <w:jc w:val="right"/>
              <w:rPr>
                <w:b/>
                <w:bCs/>
                <w:i/>
                <w:iCs/>
                <w:sz w:val="22"/>
                <w:szCs w:val="22"/>
              </w:rPr>
            </w:pPr>
            <w:r>
              <w:rPr>
                <w:b/>
                <w:bCs/>
                <w:i/>
                <w:iCs/>
                <w:sz w:val="22"/>
                <w:szCs w:val="22"/>
              </w:rPr>
              <w:t>41.337,77</w:t>
            </w:r>
          </w:p>
        </w:tc>
        <w:tc>
          <w:tcPr>
            <w:tcW w:w="819"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rsidR="003B577F" w:rsidRDefault="003B577F">
            <w:pPr>
              <w:jc w:val="right"/>
              <w:rPr>
                <w:b/>
                <w:bCs/>
                <w:i/>
                <w:iCs/>
                <w:color w:val="000000"/>
                <w:sz w:val="22"/>
                <w:szCs w:val="22"/>
              </w:rPr>
            </w:pPr>
            <w:r>
              <w:rPr>
                <w:b/>
                <w:bCs/>
                <w:i/>
                <w:iCs/>
                <w:color w:val="000000"/>
                <w:sz w:val="22"/>
                <w:szCs w:val="22"/>
              </w:rPr>
              <w:t>41.257,53</w:t>
            </w:r>
          </w:p>
        </w:tc>
      </w:tr>
      <w:tr w:rsidR="003B577F" w:rsidTr="003B577F">
        <w:trPr>
          <w:trHeight w:val="330"/>
        </w:trPr>
        <w:tc>
          <w:tcPr>
            <w:tcW w:w="122"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2" w:type="pct"/>
            <w:tcBorders>
              <w:top w:val="nil"/>
              <w:left w:val="nil"/>
              <w:bottom w:val="nil"/>
              <w:right w:val="nil"/>
            </w:tcBorders>
            <w:shd w:val="clear" w:color="auto" w:fill="auto"/>
            <w:noWrap/>
            <w:vAlign w:val="bottom"/>
            <w:hideMark/>
          </w:tcPr>
          <w:p w:rsidR="003B577F" w:rsidRDefault="003B577F">
            <w:pPr>
              <w:rPr>
                <w:sz w:val="22"/>
                <w:szCs w:val="22"/>
              </w:rPr>
            </w:pPr>
          </w:p>
        </w:tc>
        <w:tc>
          <w:tcPr>
            <w:tcW w:w="2607" w:type="pct"/>
            <w:tcBorders>
              <w:top w:val="nil"/>
              <w:left w:val="nil"/>
              <w:bottom w:val="nil"/>
              <w:right w:val="nil"/>
            </w:tcBorders>
            <w:shd w:val="clear" w:color="auto" w:fill="auto"/>
            <w:noWrap/>
            <w:vAlign w:val="bottom"/>
            <w:hideMark/>
          </w:tcPr>
          <w:p w:rsidR="003B577F" w:rsidRDefault="003B577F">
            <w:pPr>
              <w:rPr>
                <w:b/>
                <w:bCs/>
                <w:color w:val="000000"/>
                <w:sz w:val="22"/>
                <w:szCs w:val="22"/>
              </w:rPr>
            </w:pPr>
            <w:r>
              <w:rPr>
                <w:b/>
                <w:bCs/>
                <w:color w:val="000000"/>
                <w:sz w:val="22"/>
                <w:szCs w:val="22"/>
              </w:rPr>
              <w:t xml:space="preserve">Σύνολο </w:t>
            </w:r>
            <w:proofErr w:type="spellStart"/>
            <w:r>
              <w:rPr>
                <w:b/>
                <w:bCs/>
                <w:color w:val="000000"/>
                <w:sz w:val="22"/>
                <w:szCs w:val="22"/>
              </w:rPr>
              <w:t>κυκλοφορούντων</w:t>
            </w:r>
            <w:proofErr w:type="spellEnd"/>
          </w:p>
        </w:tc>
        <w:tc>
          <w:tcPr>
            <w:tcW w:w="530" w:type="pct"/>
            <w:tcBorders>
              <w:top w:val="nil"/>
              <w:left w:val="nil"/>
              <w:bottom w:val="nil"/>
              <w:right w:val="nil"/>
            </w:tcBorders>
            <w:shd w:val="clear" w:color="auto" w:fill="auto"/>
            <w:noWrap/>
            <w:vAlign w:val="bottom"/>
            <w:hideMark/>
          </w:tcPr>
          <w:p w:rsidR="003B577F" w:rsidRDefault="003B577F">
            <w:pPr>
              <w:rPr>
                <w:b/>
                <w:bCs/>
                <w:color w:val="000000"/>
                <w:sz w:val="22"/>
                <w:szCs w:val="22"/>
              </w:rPr>
            </w:pPr>
          </w:p>
        </w:tc>
        <w:tc>
          <w:tcPr>
            <w:tcW w:w="801" w:type="pct"/>
            <w:tcBorders>
              <w:top w:val="single" w:sz="4" w:space="0" w:color="auto"/>
              <w:left w:val="single" w:sz="4" w:space="0" w:color="auto"/>
              <w:bottom w:val="double" w:sz="6" w:space="0" w:color="auto"/>
              <w:right w:val="nil"/>
            </w:tcBorders>
            <w:shd w:val="clear" w:color="auto" w:fill="auto"/>
            <w:noWrap/>
            <w:vAlign w:val="bottom"/>
            <w:hideMark/>
          </w:tcPr>
          <w:p w:rsidR="003B577F" w:rsidRDefault="003B577F">
            <w:pPr>
              <w:jc w:val="right"/>
              <w:rPr>
                <w:b/>
                <w:bCs/>
                <w:sz w:val="22"/>
                <w:szCs w:val="22"/>
              </w:rPr>
            </w:pPr>
            <w:r>
              <w:rPr>
                <w:b/>
                <w:bCs/>
                <w:sz w:val="22"/>
                <w:szCs w:val="22"/>
              </w:rPr>
              <w:t>41.337,77</w:t>
            </w:r>
          </w:p>
        </w:tc>
        <w:tc>
          <w:tcPr>
            <w:tcW w:w="819"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41.257,53</w:t>
            </w:r>
          </w:p>
        </w:tc>
      </w:tr>
      <w:tr w:rsidR="003B577F" w:rsidTr="003B577F">
        <w:trPr>
          <w:trHeight w:val="330"/>
        </w:trPr>
        <w:tc>
          <w:tcPr>
            <w:tcW w:w="122" w:type="pct"/>
            <w:tcBorders>
              <w:top w:val="nil"/>
              <w:left w:val="single" w:sz="4" w:space="0" w:color="auto"/>
              <w:bottom w:val="single" w:sz="4" w:space="0" w:color="auto"/>
              <w:right w:val="nil"/>
            </w:tcBorders>
            <w:shd w:val="clear" w:color="auto" w:fill="auto"/>
            <w:noWrap/>
            <w:vAlign w:val="bottom"/>
            <w:hideMark/>
          </w:tcPr>
          <w:p w:rsidR="003B577F" w:rsidRDefault="003B577F">
            <w:pPr>
              <w:rPr>
                <w:sz w:val="22"/>
                <w:szCs w:val="22"/>
              </w:rPr>
            </w:pPr>
            <w:r>
              <w:rPr>
                <w:sz w:val="22"/>
                <w:szCs w:val="22"/>
              </w:rPr>
              <w:t> </w:t>
            </w:r>
          </w:p>
        </w:tc>
        <w:tc>
          <w:tcPr>
            <w:tcW w:w="122" w:type="pct"/>
            <w:tcBorders>
              <w:top w:val="nil"/>
              <w:left w:val="nil"/>
              <w:bottom w:val="single" w:sz="4" w:space="0" w:color="auto"/>
              <w:right w:val="nil"/>
            </w:tcBorders>
            <w:shd w:val="clear" w:color="auto" w:fill="auto"/>
            <w:noWrap/>
            <w:vAlign w:val="bottom"/>
            <w:hideMark/>
          </w:tcPr>
          <w:p w:rsidR="003B577F" w:rsidRDefault="003B577F">
            <w:pPr>
              <w:rPr>
                <w:b/>
                <w:bCs/>
                <w:color w:val="000000"/>
                <w:sz w:val="22"/>
                <w:szCs w:val="22"/>
              </w:rPr>
            </w:pPr>
            <w:r>
              <w:rPr>
                <w:b/>
                <w:bCs/>
                <w:color w:val="000000"/>
                <w:sz w:val="22"/>
                <w:szCs w:val="22"/>
              </w:rPr>
              <w:t> </w:t>
            </w:r>
          </w:p>
        </w:tc>
        <w:tc>
          <w:tcPr>
            <w:tcW w:w="2607" w:type="pct"/>
            <w:tcBorders>
              <w:top w:val="nil"/>
              <w:left w:val="nil"/>
              <w:bottom w:val="single" w:sz="4" w:space="0" w:color="auto"/>
              <w:right w:val="nil"/>
            </w:tcBorders>
            <w:shd w:val="clear" w:color="auto" w:fill="auto"/>
            <w:noWrap/>
            <w:vAlign w:val="bottom"/>
            <w:hideMark/>
          </w:tcPr>
          <w:p w:rsidR="003B577F" w:rsidRDefault="003B577F">
            <w:pPr>
              <w:rPr>
                <w:b/>
                <w:bCs/>
                <w:color w:val="000000"/>
                <w:sz w:val="22"/>
                <w:szCs w:val="22"/>
              </w:rPr>
            </w:pPr>
            <w:r>
              <w:rPr>
                <w:b/>
                <w:bCs/>
                <w:color w:val="000000"/>
                <w:sz w:val="22"/>
                <w:szCs w:val="22"/>
              </w:rPr>
              <w:t>Σύνολο ενεργητικού</w:t>
            </w:r>
          </w:p>
        </w:tc>
        <w:tc>
          <w:tcPr>
            <w:tcW w:w="530" w:type="pct"/>
            <w:tcBorders>
              <w:top w:val="nil"/>
              <w:left w:val="nil"/>
              <w:bottom w:val="single" w:sz="4" w:space="0" w:color="auto"/>
              <w:right w:val="nil"/>
            </w:tcBorders>
            <w:shd w:val="clear" w:color="auto" w:fill="auto"/>
            <w:noWrap/>
            <w:vAlign w:val="bottom"/>
            <w:hideMark/>
          </w:tcPr>
          <w:p w:rsidR="003B577F" w:rsidRDefault="003B577F">
            <w:pPr>
              <w:jc w:val="center"/>
              <w:rPr>
                <w:b/>
                <w:bCs/>
                <w:color w:val="000000"/>
                <w:sz w:val="22"/>
                <w:szCs w:val="22"/>
              </w:rPr>
            </w:pPr>
            <w:r>
              <w:rPr>
                <w:b/>
                <w:bCs/>
                <w:color w:val="000000"/>
                <w:sz w:val="22"/>
                <w:szCs w:val="22"/>
              </w:rPr>
              <w:t> </w:t>
            </w:r>
          </w:p>
        </w:tc>
        <w:tc>
          <w:tcPr>
            <w:tcW w:w="801" w:type="pct"/>
            <w:tcBorders>
              <w:top w:val="single" w:sz="4" w:space="0" w:color="auto"/>
              <w:left w:val="single" w:sz="4" w:space="0" w:color="auto"/>
              <w:bottom w:val="single" w:sz="4" w:space="0" w:color="auto"/>
              <w:right w:val="nil"/>
            </w:tcBorders>
            <w:shd w:val="clear" w:color="auto" w:fill="auto"/>
            <w:noWrap/>
            <w:vAlign w:val="bottom"/>
            <w:hideMark/>
          </w:tcPr>
          <w:p w:rsidR="003B577F" w:rsidRDefault="003B577F">
            <w:pPr>
              <w:jc w:val="right"/>
              <w:rPr>
                <w:b/>
                <w:bCs/>
                <w:sz w:val="22"/>
                <w:szCs w:val="22"/>
              </w:rPr>
            </w:pPr>
            <w:r>
              <w:rPr>
                <w:b/>
                <w:bCs/>
                <w:sz w:val="22"/>
                <w:szCs w:val="22"/>
              </w:rPr>
              <w:t>114.162,30</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114.937,72</w:t>
            </w:r>
          </w:p>
        </w:tc>
      </w:tr>
    </w:tbl>
    <w:p w:rsidR="00F14C81" w:rsidRPr="00A131AE" w:rsidRDefault="00F14C81">
      <w:pPr>
        <w:tabs>
          <w:tab w:val="left" w:pos="5253"/>
          <w:tab w:val="left" w:pos="6062"/>
          <w:tab w:val="left" w:pos="7542"/>
        </w:tabs>
        <w:ind w:left="93"/>
        <w:rPr>
          <w:b/>
          <w:bCs/>
          <w:color w:val="000000"/>
          <w:sz w:val="18"/>
          <w:szCs w:val="18"/>
          <w:highlight w:val="yellow"/>
        </w:rPr>
      </w:pPr>
    </w:p>
    <w:p w:rsidR="004841CE" w:rsidRPr="00A131AE" w:rsidRDefault="00F14C81">
      <w:pPr>
        <w:tabs>
          <w:tab w:val="left" w:pos="5253"/>
          <w:tab w:val="left" w:pos="6062"/>
          <w:tab w:val="left" w:pos="7542"/>
        </w:tabs>
        <w:ind w:left="93"/>
        <w:rPr>
          <w:b/>
          <w:bCs/>
          <w:color w:val="000000"/>
          <w:sz w:val="18"/>
          <w:szCs w:val="18"/>
          <w:highlight w:val="yellow"/>
        </w:rPr>
      </w:pPr>
      <w:r w:rsidRPr="00A131AE">
        <w:rPr>
          <w:b/>
          <w:bCs/>
          <w:color w:val="000000"/>
          <w:sz w:val="18"/>
          <w:szCs w:val="18"/>
          <w:highlight w:val="yellow"/>
        </w:rPr>
        <w:br w:type="page"/>
      </w:r>
    </w:p>
    <w:tbl>
      <w:tblPr>
        <w:tblW w:w="5000" w:type="pct"/>
        <w:tblLook w:val="04A0" w:firstRow="1" w:lastRow="0" w:firstColumn="1" w:lastColumn="0" w:noHBand="0" w:noVBand="1"/>
      </w:tblPr>
      <w:tblGrid>
        <w:gridCol w:w="271"/>
        <w:gridCol w:w="272"/>
        <w:gridCol w:w="4733"/>
        <w:gridCol w:w="1178"/>
        <w:gridCol w:w="1445"/>
        <w:gridCol w:w="1445"/>
      </w:tblGrid>
      <w:tr w:rsidR="003B577F" w:rsidTr="003B577F">
        <w:trPr>
          <w:trHeight w:val="330"/>
        </w:trPr>
        <w:tc>
          <w:tcPr>
            <w:tcW w:w="2833" w:type="pct"/>
            <w:gridSpan w:val="3"/>
            <w:tcBorders>
              <w:top w:val="single" w:sz="4" w:space="0" w:color="auto"/>
              <w:left w:val="single" w:sz="4" w:space="0" w:color="auto"/>
              <w:bottom w:val="nil"/>
              <w:right w:val="nil"/>
            </w:tcBorders>
            <w:shd w:val="clear" w:color="auto" w:fill="auto"/>
            <w:noWrap/>
            <w:vAlign w:val="bottom"/>
            <w:hideMark/>
          </w:tcPr>
          <w:p w:rsidR="003B577F" w:rsidRDefault="003B577F">
            <w:pPr>
              <w:rPr>
                <w:b/>
                <w:bCs/>
                <w:sz w:val="22"/>
                <w:szCs w:val="22"/>
              </w:rPr>
            </w:pPr>
            <w:r>
              <w:rPr>
                <w:b/>
                <w:bCs/>
                <w:sz w:val="22"/>
                <w:szCs w:val="22"/>
              </w:rPr>
              <w:lastRenderedPageBreak/>
              <w:t>ΠΑΘΗΤΙΚΟ</w:t>
            </w:r>
          </w:p>
        </w:tc>
        <w:tc>
          <w:tcPr>
            <w:tcW w:w="534" w:type="pct"/>
            <w:tcBorders>
              <w:top w:val="single" w:sz="4" w:space="0" w:color="auto"/>
              <w:left w:val="nil"/>
              <w:bottom w:val="nil"/>
              <w:right w:val="nil"/>
            </w:tcBorders>
            <w:shd w:val="clear" w:color="auto" w:fill="auto"/>
            <w:noWrap/>
            <w:vAlign w:val="bottom"/>
            <w:hideMark/>
          </w:tcPr>
          <w:p w:rsidR="003B577F" w:rsidRDefault="003B577F">
            <w:pPr>
              <w:rPr>
                <w:b/>
                <w:bCs/>
                <w:color w:val="000000"/>
                <w:sz w:val="22"/>
                <w:szCs w:val="22"/>
                <w:u w:val="single"/>
              </w:rPr>
            </w:pPr>
            <w:r>
              <w:rPr>
                <w:b/>
                <w:bCs/>
                <w:color w:val="000000"/>
                <w:sz w:val="22"/>
                <w:szCs w:val="22"/>
                <w:u w:val="single"/>
              </w:rPr>
              <w:t>Σημείωση</w:t>
            </w:r>
          </w:p>
        </w:tc>
        <w:tc>
          <w:tcPr>
            <w:tcW w:w="807" w:type="pct"/>
            <w:tcBorders>
              <w:top w:val="single" w:sz="4" w:space="0" w:color="auto"/>
              <w:left w:val="single" w:sz="4" w:space="0" w:color="auto"/>
              <w:bottom w:val="nil"/>
              <w:right w:val="nil"/>
            </w:tcBorders>
            <w:shd w:val="clear" w:color="auto" w:fill="auto"/>
            <w:noWrap/>
            <w:vAlign w:val="bottom"/>
            <w:hideMark/>
          </w:tcPr>
          <w:p w:rsidR="003B577F" w:rsidRDefault="003B577F">
            <w:pPr>
              <w:jc w:val="right"/>
              <w:rPr>
                <w:b/>
                <w:bCs/>
                <w:sz w:val="22"/>
                <w:szCs w:val="22"/>
                <w:u w:val="single"/>
              </w:rPr>
            </w:pPr>
            <w:r>
              <w:rPr>
                <w:b/>
                <w:bCs/>
                <w:sz w:val="22"/>
                <w:szCs w:val="22"/>
                <w:u w:val="single"/>
              </w:rPr>
              <w:t>31/12/21</w:t>
            </w:r>
          </w:p>
        </w:tc>
        <w:tc>
          <w:tcPr>
            <w:tcW w:w="825" w:type="pct"/>
            <w:tcBorders>
              <w:top w:val="single" w:sz="4" w:space="0" w:color="auto"/>
              <w:left w:val="single" w:sz="4" w:space="0" w:color="auto"/>
              <w:bottom w:val="nil"/>
              <w:right w:val="single" w:sz="4" w:space="0" w:color="auto"/>
            </w:tcBorders>
            <w:shd w:val="clear" w:color="auto" w:fill="auto"/>
            <w:noWrap/>
            <w:vAlign w:val="bottom"/>
            <w:hideMark/>
          </w:tcPr>
          <w:p w:rsidR="003B577F" w:rsidRDefault="003B577F">
            <w:pPr>
              <w:jc w:val="right"/>
              <w:rPr>
                <w:b/>
                <w:bCs/>
                <w:color w:val="000000"/>
                <w:sz w:val="22"/>
                <w:szCs w:val="22"/>
                <w:u w:val="single"/>
              </w:rPr>
            </w:pPr>
            <w:r>
              <w:rPr>
                <w:b/>
                <w:bCs/>
                <w:color w:val="000000"/>
                <w:sz w:val="22"/>
                <w:szCs w:val="22"/>
                <w:u w:val="single"/>
              </w:rPr>
              <w:t>31/12/20</w:t>
            </w:r>
          </w:p>
        </w:tc>
      </w:tr>
      <w:tr w:rsidR="003B577F" w:rsidTr="003B577F">
        <w:trPr>
          <w:trHeight w:val="330"/>
        </w:trPr>
        <w:tc>
          <w:tcPr>
            <w:tcW w:w="2833" w:type="pct"/>
            <w:gridSpan w:val="3"/>
            <w:tcBorders>
              <w:top w:val="nil"/>
              <w:left w:val="single" w:sz="4" w:space="0" w:color="auto"/>
              <w:bottom w:val="nil"/>
              <w:right w:val="nil"/>
            </w:tcBorders>
            <w:shd w:val="clear" w:color="auto" w:fill="auto"/>
            <w:noWrap/>
            <w:vAlign w:val="bottom"/>
            <w:hideMark/>
          </w:tcPr>
          <w:p w:rsidR="003B577F" w:rsidRDefault="003B577F">
            <w:pPr>
              <w:rPr>
                <w:b/>
                <w:bCs/>
                <w:color w:val="000000"/>
                <w:sz w:val="22"/>
                <w:szCs w:val="22"/>
              </w:rPr>
            </w:pPr>
            <w:r>
              <w:rPr>
                <w:b/>
                <w:bCs/>
                <w:color w:val="000000"/>
                <w:sz w:val="22"/>
                <w:szCs w:val="22"/>
              </w:rPr>
              <w:t>Καθαρή θέση</w:t>
            </w:r>
          </w:p>
        </w:tc>
        <w:tc>
          <w:tcPr>
            <w:tcW w:w="534" w:type="pct"/>
            <w:tcBorders>
              <w:top w:val="nil"/>
              <w:left w:val="nil"/>
              <w:bottom w:val="nil"/>
              <w:right w:val="nil"/>
            </w:tcBorders>
            <w:shd w:val="clear" w:color="auto" w:fill="auto"/>
            <w:noWrap/>
            <w:vAlign w:val="bottom"/>
            <w:hideMark/>
          </w:tcPr>
          <w:p w:rsidR="003B577F" w:rsidRDefault="003B577F">
            <w:pPr>
              <w:rPr>
                <w:b/>
                <w:bCs/>
                <w:color w:val="000000"/>
                <w:sz w:val="22"/>
                <w:szCs w:val="22"/>
              </w:rPr>
            </w:pPr>
          </w:p>
        </w:tc>
        <w:tc>
          <w:tcPr>
            <w:tcW w:w="807"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825" w:type="pct"/>
            <w:tcBorders>
              <w:top w:val="nil"/>
              <w:left w:val="single" w:sz="4" w:space="0" w:color="auto"/>
              <w:bottom w:val="nil"/>
              <w:right w:val="single" w:sz="4" w:space="0" w:color="auto"/>
            </w:tcBorders>
            <w:shd w:val="clear" w:color="auto" w:fill="auto"/>
            <w:noWrap/>
            <w:vAlign w:val="bottom"/>
            <w:hideMark/>
          </w:tcPr>
          <w:p w:rsidR="003B577F" w:rsidRDefault="003B577F">
            <w:pPr>
              <w:rPr>
                <w:color w:val="000000"/>
                <w:sz w:val="22"/>
                <w:szCs w:val="22"/>
              </w:rPr>
            </w:pPr>
            <w:r>
              <w:rPr>
                <w:color w:val="000000"/>
                <w:sz w:val="22"/>
                <w:szCs w:val="22"/>
              </w:rPr>
              <w:t> </w:t>
            </w:r>
          </w:p>
        </w:tc>
      </w:tr>
      <w:tr w:rsidR="003B577F" w:rsidTr="003B577F">
        <w:trPr>
          <w:trHeight w:val="330"/>
        </w:trPr>
        <w:tc>
          <w:tcPr>
            <w:tcW w:w="123"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2710" w:type="pct"/>
            <w:gridSpan w:val="2"/>
            <w:tcBorders>
              <w:top w:val="nil"/>
              <w:left w:val="nil"/>
              <w:bottom w:val="nil"/>
              <w:right w:val="nil"/>
            </w:tcBorders>
            <w:shd w:val="clear" w:color="auto" w:fill="auto"/>
            <w:noWrap/>
            <w:vAlign w:val="bottom"/>
            <w:hideMark/>
          </w:tcPr>
          <w:p w:rsidR="003B577F" w:rsidRDefault="003B577F">
            <w:pPr>
              <w:rPr>
                <w:b/>
                <w:bCs/>
                <w:color w:val="000000"/>
                <w:sz w:val="22"/>
                <w:szCs w:val="22"/>
              </w:rPr>
            </w:pPr>
            <w:r>
              <w:rPr>
                <w:b/>
                <w:bCs/>
                <w:color w:val="000000"/>
                <w:sz w:val="22"/>
                <w:szCs w:val="22"/>
              </w:rPr>
              <w:t>Καταβλημένα κεφάλαια</w:t>
            </w:r>
          </w:p>
        </w:tc>
        <w:tc>
          <w:tcPr>
            <w:tcW w:w="534" w:type="pct"/>
            <w:tcBorders>
              <w:top w:val="nil"/>
              <w:left w:val="nil"/>
              <w:bottom w:val="nil"/>
              <w:right w:val="nil"/>
            </w:tcBorders>
            <w:shd w:val="clear" w:color="auto" w:fill="auto"/>
            <w:noWrap/>
            <w:vAlign w:val="bottom"/>
            <w:hideMark/>
          </w:tcPr>
          <w:p w:rsidR="003B577F" w:rsidRDefault="003B577F">
            <w:pPr>
              <w:rPr>
                <w:b/>
                <w:bCs/>
                <w:color w:val="000000"/>
                <w:sz w:val="22"/>
                <w:szCs w:val="22"/>
              </w:rPr>
            </w:pPr>
          </w:p>
        </w:tc>
        <w:tc>
          <w:tcPr>
            <w:tcW w:w="807"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825" w:type="pct"/>
            <w:tcBorders>
              <w:top w:val="nil"/>
              <w:left w:val="single" w:sz="4" w:space="0" w:color="auto"/>
              <w:bottom w:val="nil"/>
              <w:right w:val="single" w:sz="4" w:space="0" w:color="auto"/>
            </w:tcBorders>
            <w:shd w:val="clear" w:color="auto" w:fill="auto"/>
            <w:noWrap/>
            <w:vAlign w:val="bottom"/>
            <w:hideMark/>
          </w:tcPr>
          <w:p w:rsidR="003B577F" w:rsidRDefault="003B577F">
            <w:pPr>
              <w:rPr>
                <w:color w:val="000000"/>
                <w:sz w:val="22"/>
                <w:szCs w:val="22"/>
              </w:rPr>
            </w:pPr>
            <w:r>
              <w:rPr>
                <w:color w:val="000000"/>
                <w:sz w:val="22"/>
                <w:szCs w:val="22"/>
              </w:rPr>
              <w:t> </w:t>
            </w:r>
          </w:p>
        </w:tc>
      </w:tr>
      <w:tr w:rsidR="003B577F" w:rsidTr="003B577F">
        <w:trPr>
          <w:trHeight w:val="330"/>
        </w:trPr>
        <w:tc>
          <w:tcPr>
            <w:tcW w:w="123"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rsidR="003B577F" w:rsidRDefault="003B577F">
            <w:pPr>
              <w:rPr>
                <w:sz w:val="22"/>
                <w:szCs w:val="22"/>
              </w:rPr>
            </w:pPr>
          </w:p>
        </w:tc>
        <w:tc>
          <w:tcPr>
            <w:tcW w:w="2587" w:type="pct"/>
            <w:tcBorders>
              <w:top w:val="nil"/>
              <w:left w:val="nil"/>
              <w:bottom w:val="nil"/>
              <w:right w:val="nil"/>
            </w:tcBorders>
            <w:shd w:val="clear" w:color="auto" w:fill="auto"/>
            <w:noWrap/>
            <w:vAlign w:val="bottom"/>
            <w:hideMark/>
          </w:tcPr>
          <w:p w:rsidR="003B577F" w:rsidRDefault="003B577F">
            <w:pPr>
              <w:rPr>
                <w:color w:val="000000"/>
                <w:sz w:val="22"/>
                <w:szCs w:val="22"/>
              </w:rPr>
            </w:pPr>
            <w:r>
              <w:rPr>
                <w:color w:val="000000"/>
                <w:sz w:val="22"/>
                <w:szCs w:val="22"/>
              </w:rPr>
              <w:t>Κεφάλαιο</w:t>
            </w:r>
          </w:p>
        </w:tc>
        <w:tc>
          <w:tcPr>
            <w:tcW w:w="534" w:type="pct"/>
            <w:tcBorders>
              <w:top w:val="nil"/>
              <w:left w:val="nil"/>
              <w:bottom w:val="nil"/>
              <w:right w:val="nil"/>
            </w:tcBorders>
            <w:shd w:val="clear" w:color="auto" w:fill="auto"/>
            <w:noWrap/>
            <w:vAlign w:val="bottom"/>
            <w:hideMark/>
          </w:tcPr>
          <w:p w:rsidR="003B577F" w:rsidRDefault="003B577F">
            <w:pPr>
              <w:rPr>
                <w:color w:val="000000"/>
                <w:sz w:val="22"/>
                <w:szCs w:val="22"/>
              </w:rPr>
            </w:pPr>
          </w:p>
        </w:tc>
        <w:tc>
          <w:tcPr>
            <w:tcW w:w="807" w:type="pct"/>
            <w:tcBorders>
              <w:top w:val="nil"/>
              <w:left w:val="single" w:sz="4" w:space="0" w:color="auto"/>
              <w:bottom w:val="nil"/>
              <w:right w:val="nil"/>
            </w:tcBorders>
            <w:shd w:val="clear" w:color="auto" w:fill="auto"/>
            <w:noWrap/>
            <w:vAlign w:val="bottom"/>
            <w:hideMark/>
          </w:tcPr>
          <w:p w:rsidR="003B577F" w:rsidRDefault="003B577F">
            <w:pPr>
              <w:jc w:val="right"/>
              <w:rPr>
                <w:sz w:val="22"/>
                <w:szCs w:val="22"/>
              </w:rPr>
            </w:pPr>
            <w:r>
              <w:rPr>
                <w:sz w:val="22"/>
                <w:szCs w:val="22"/>
              </w:rPr>
              <w:t>1.005.500,00</w:t>
            </w:r>
          </w:p>
        </w:tc>
        <w:tc>
          <w:tcPr>
            <w:tcW w:w="825" w:type="pct"/>
            <w:tcBorders>
              <w:top w:val="nil"/>
              <w:left w:val="single" w:sz="4" w:space="0" w:color="auto"/>
              <w:bottom w:val="nil"/>
              <w:right w:val="single" w:sz="4"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1.005.500,00</w:t>
            </w:r>
          </w:p>
        </w:tc>
      </w:tr>
      <w:tr w:rsidR="003B577F" w:rsidTr="003B577F">
        <w:trPr>
          <w:trHeight w:val="330"/>
        </w:trPr>
        <w:tc>
          <w:tcPr>
            <w:tcW w:w="123"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rsidR="003B577F" w:rsidRDefault="003B577F">
            <w:pPr>
              <w:rPr>
                <w:sz w:val="22"/>
                <w:szCs w:val="22"/>
              </w:rPr>
            </w:pPr>
          </w:p>
        </w:tc>
        <w:tc>
          <w:tcPr>
            <w:tcW w:w="2587" w:type="pct"/>
            <w:tcBorders>
              <w:top w:val="nil"/>
              <w:left w:val="nil"/>
              <w:bottom w:val="nil"/>
              <w:right w:val="nil"/>
            </w:tcBorders>
            <w:shd w:val="clear" w:color="auto" w:fill="auto"/>
            <w:noWrap/>
            <w:vAlign w:val="bottom"/>
            <w:hideMark/>
          </w:tcPr>
          <w:p w:rsidR="003B577F" w:rsidRDefault="003B577F">
            <w:pPr>
              <w:rPr>
                <w:color w:val="000000"/>
                <w:sz w:val="22"/>
                <w:szCs w:val="22"/>
              </w:rPr>
            </w:pPr>
            <w:r>
              <w:rPr>
                <w:color w:val="000000"/>
                <w:sz w:val="22"/>
                <w:szCs w:val="22"/>
              </w:rPr>
              <w:t>Υπέρ το άρτιο</w:t>
            </w:r>
          </w:p>
        </w:tc>
        <w:tc>
          <w:tcPr>
            <w:tcW w:w="534" w:type="pct"/>
            <w:tcBorders>
              <w:top w:val="nil"/>
              <w:left w:val="nil"/>
              <w:bottom w:val="nil"/>
              <w:right w:val="nil"/>
            </w:tcBorders>
            <w:shd w:val="clear" w:color="auto" w:fill="auto"/>
            <w:noWrap/>
            <w:vAlign w:val="bottom"/>
            <w:hideMark/>
          </w:tcPr>
          <w:p w:rsidR="003B577F" w:rsidRDefault="003B577F">
            <w:pPr>
              <w:rPr>
                <w:color w:val="000000"/>
                <w:sz w:val="22"/>
                <w:szCs w:val="22"/>
              </w:rPr>
            </w:pPr>
          </w:p>
        </w:tc>
        <w:tc>
          <w:tcPr>
            <w:tcW w:w="807" w:type="pct"/>
            <w:tcBorders>
              <w:top w:val="nil"/>
              <w:left w:val="single" w:sz="4" w:space="0" w:color="auto"/>
              <w:bottom w:val="nil"/>
              <w:right w:val="nil"/>
            </w:tcBorders>
            <w:shd w:val="clear" w:color="auto" w:fill="auto"/>
            <w:noWrap/>
            <w:vAlign w:val="bottom"/>
            <w:hideMark/>
          </w:tcPr>
          <w:p w:rsidR="003B577F" w:rsidRDefault="003B577F">
            <w:pPr>
              <w:jc w:val="right"/>
              <w:rPr>
                <w:sz w:val="22"/>
                <w:szCs w:val="22"/>
              </w:rPr>
            </w:pPr>
            <w:r>
              <w:rPr>
                <w:sz w:val="22"/>
                <w:szCs w:val="22"/>
              </w:rPr>
              <w:t>1.336.500,00</w:t>
            </w:r>
          </w:p>
        </w:tc>
        <w:tc>
          <w:tcPr>
            <w:tcW w:w="825" w:type="pct"/>
            <w:tcBorders>
              <w:top w:val="nil"/>
              <w:left w:val="single" w:sz="4" w:space="0" w:color="auto"/>
              <w:bottom w:val="nil"/>
              <w:right w:val="single" w:sz="4"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1.336.500,00</w:t>
            </w:r>
          </w:p>
        </w:tc>
      </w:tr>
      <w:tr w:rsidR="003B577F" w:rsidTr="003B577F">
        <w:trPr>
          <w:trHeight w:val="330"/>
        </w:trPr>
        <w:tc>
          <w:tcPr>
            <w:tcW w:w="123"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rsidR="003B577F" w:rsidRDefault="003B577F">
            <w:pPr>
              <w:rPr>
                <w:sz w:val="22"/>
                <w:szCs w:val="22"/>
              </w:rPr>
            </w:pPr>
          </w:p>
        </w:tc>
        <w:tc>
          <w:tcPr>
            <w:tcW w:w="2587" w:type="pct"/>
            <w:tcBorders>
              <w:top w:val="nil"/>
              <w:left w:val="nil"/>
              <w:bottom w:val="nil"/>
              <w:right w:val="nil"/>
            </w:tcBorders>
            <w:shd w:val="clear" w:color="auto" w:fill="auto"/>
            <w:noWrap/>
            <w:vAlign w:val="bottom"/>
            <w:hideMark/>
          </w:tcPr>
          <w:p w:rsidR="003B577F" w:rsidRDefault="003B577F">
            <w:pPr>
              <w:rPr>
                <w:b/>
                <w:bCs/>
                <w:color w:val="000000"/>
                <w:sz w:val="22"/>
                <w:szCs w:val="22"/>
              </w:rPr>
            </w:pPr>
            <w:r>
              <w:rPr>
                <w:b/>
                <w:bCs/>
                <w:color w:val="000000"/>
                <w:sz w:val="22"/>
                <w:szCs w:val="22"/>
              </w:rPr>
              <w:t>Σύνολο</w:t>
            </w:r>
          </w:p>
        </w:tc>
        <w:tc>
          <w:tcPr>
            <w:tcW w:w="534" w:type="pct"/>
            <w:tcBorders>
              <w:top w:val="nil"/>
              <w:left w:val="nil"/>
              <w:bottom w:val="nil"/>
              <w:right w:val="nil"/>
            </w:tcBorders>
            <w:shd w:val="clear" w:color="auto" w:fill="auto"/>
            <w:noWrap/>
            <w:vAlign w:val="bottom"/>
            <w:hideMark/>
          </w:tcPr>
          <w:p w:rsidR="003B577F" w:rsidRDefault="003B577F">
            <w:pPr>
              <w:rPr>
                <w:b/>
                <w:bCs/>
                <w:color w:val="000000"/>
                <w:sz w:val="22"/>
                <w:szCs w:val="22"/>
              </w:rPr>
            </w:pPr>
          </w:p>
        </w:tc>
        <w:tc>
          <w:tcPr>
            <w:tcW w:w="807" w:type="pct"/>
            <w:tcBorders>
              <w:top w:val="single" w:sz="4" w:space="0" w:color="auto"/>
              <w:left w:val="single" w:sz="4" w:space="0" w:color="auto"/>
              <w:bottom w:val="double" w:sz="6" w:space="0" w:color="auto"/>
              <w:right w:val="nil"/>
            </w:tcBorders>
            <w:shd w:val="clear" w:color="auto" w:fill="auto"/>
            <w:noWrap/>
            <w:vAlign w:val="bottom"/>
            <w:hideMark/>
          </w:tcPr>
          <w:p w:rsidR="003B577F" w:rsidRDefault="003B577F">
            <w:pPr>
              <w:jc w:val="right"/>
              <w:rPr>
                <w:b/>
                <w:bCs/>
                <w:i/>
                <w:iCs/>
                <w:sz w:val="22"/>
                <w:szCs w:val="22"/>
              </w:rPr>
            </w:pPr>
            <w:r>
              <w:rPr>
                <w:b/>
                <w:bCs/>
                <w:i/>
                <w:iCs/>
                <w:sz w:val="22"/>
                <w:szCs w:val="22"/>
              </w:rPr>
              <w:t>2.342.000,00</w:t>
            </w:r>
          </w:p>
        </w:tc>
        <w:tc>
          <w:tcPr>
            <w:tcW w:w="825"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rsidR="003B577F" w:rsidRDefault="003B577F">
            <w:pPr>
              <w:jc w:val="right"/>
              <w:rPr>
                <w:b/>
                <w:bCs/>
                <w:i/>
                <w:iCs/>
                <w:color w:val="000000"/>
                <w:sz w:val="22"/>
                <w:szCs w:val="22"/>
              </w:rPr>
            </w:pPr>
            <w:r>
              <w:rPr>
                <w:b/>
                <w:bCs/>
                <w:i/>
                <w:iCs/>
                <w:color w:val="000000"/>
                <w:sz w:val="22"/>
                <w:szCs w:val="22"/>
              </w:rPr>
              <w:t>2.342.000,00</w:t>
            </w:r>
          </w:p>
        </w:tc>
      </w:tr>
      <w:tr w:rsidR="003B577F" w:rsidTr="003B577F">
        <w:trPr>
          <w:trHeight w:val="330"/>
        </w:trPr>
        <w:tc>
          <w:tcPr>
            <w:tcW w:w="123"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2710" w:type="pct"/>
            <w:gridSpan w:val="2"/>
            <w:tcBorders>
              <w:top w:val="nil"/>
              <w:left w:val="nil"/>
              <w:bottom w:val="nil"/>
              <w:right w:val="nil"/>
            </w:tcBorders>
            <w:shd w:val="clear" w:color="auto" w:fill="auto"/>
            <w:noWrap/>
            <w:vAlign w:val="bottom"/>
            <w:hideMark/>
          </w:tcPr>
          <w:p w:rsidR="003B577F" w:rsidRDefault="003B577F">
            <w:pPr>
              <w:rPr>
                <w:b/>
                <w:bCs/>
                <w:i/>
                <w:iCs/>
                <w:color w:val="000000"/>
                <w:sz w:val="22"/>
                <w:szCs w:val="22"/>
              </w:rPr>
            </w:pPr>
            <w:r>
              <w:rPr>
                <w:b/>
                <w:bCs/>
                <w:i/>
                <w:iCs/>
                <w:color w:val="000000"/>
                <w:sz w:val="22"/>
                <w:szCs w:val="22"/>
              </w:rPr>
              <w:t>Αποθεματικά και αποτελέσματα εις νέο</w:t>
            </w:r>
          </w:p>
        </w:tc>
        <w:tc>
          <w:tcPr>
            <w:tcW w:w="534" w:type="pct"/>
            <w:tcBorders>
              <w:top w:val="nil"/>
              <w:left w:val="nil"/>
              <w:bottom w:val="nil"/>
              <w:right w:val="nil"/>
            </w:tcBorders>
            <w:shd w:val="clear" w:color="auto" w:fill="auto"/>
            <w:noWrap/>
            <w:vAlign w:val="bottom"/>
            <w:hideMark/>
          </w:tcPr>
          <w:p w:rsidR="003B577F" w:rsidRDefault="003B577F">
            <w:pPr>
              <w:rPr>
                <w:b/>
                <w:bCs/>
                <w:i/>
                <w:iCs/>
                <w:color w:val="000000"/>
                <w:sz w:val="22"/>
                <w:szCs w:val="22"/>
              </w:rPr>
            </w:pPr>
          </w:p>
        </w:tc>
        <w:tc>
          <w:tcPr>
            <w:tcW w:w="807"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825" w:type="pct"/>
            <w:tcBorders>
              <w:top w:val="nil"/>
              <w:left w:val="single" w:sz="4" w:space="0" w:color="auto"/>
              <w:bottom w:val="nil"/>
              <w:right w:val="single" w:sz="4" w:space="0" w:color="auto"/>
            </w:tcBorders>
            <w:shd w:val="clear" w:color="auto" w:fill="auto"/>
            <w:noWrap/>
            <w:vAlign w:val="bottom"/>
            <w:hideMark/>
          </w:tcPr>
          <w:p w:rsidR="003B577F" w:rsidRDefault="003B577F">
            <w:pPr>
              <w:rPr>
                <w:color w:val="000000"/>
                <w:sz w:val="22"/>
                <w:szCs w:val="22"/>
              </w:rPr>
            </w:pPr>
            <w:r>
              <w:rPr>
                <w:color w:val="000000"/>
                <w:sz w:val="22"/>
                <w:szCs w:val="22"/>
              </w:rPr>
              <w:t> </w:t>
            </w:r>
          </w:p>
        </w:tc>
      </w:tr>
      <w:tr w:rsidR="003B577F" w:rsidTr="003B577F">
        <w:trPr>
          <w:trHeight w:val="330"/>
        </w:trPr>
        <w:tc>
          <w:tcPr>
            <w:tcW w:w="123"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rsidR="003B577F" w:rsidRDefault="003B577F">
            <w:pPr>
              <w:rPr>
                <w:sz w:val="22"/>
                <w:szCs w:val="22"/>
              </w:rPr>
            </w:pPr>
          </w:p>
        </w:tc>
        <w:tc>
          <w:tcPr>
            <w:tcW w:w="2587" w:type="pct"/>
            <w:tcBorders>
              <w:top w:val="nil"/>
              <w:left w:val="nil"/>
              <w:bottom w:val="nil"/>
              <w:right w:val="nil"/>
            </w:tcBorders>
            <w:shd w:val="clear" w:color="auto" w:fill="auto"/>
            <w:noWrap/>
            <w:vAlign w:val="bottom"/>
            <w:hideMark/>
          </w:tcPr>
          <w:p w:rsidR="003B577F" w:rsidRDefault="003B577F">
            <w:pPr>
              <w:rPr>
                <w:color w:val="000000"/>
                <w:sz w:val="22"/>
                <w:szCs w:val="22"/>
              </w:rPr>
            </w:pPr>
            <w:r>
              <w:rPr>
                <w:color w:val="000000"/>
                <w:sz w:val="22"/>
                <w:szCs w:val="22"/>
              </w:rPr>
              <w:t>Αποτελέσματα εις νέο</w:t>
            </w:r>
          </w:p>
        </w:tc>
        <w:tc>
          <w:tcPr>
            <w:tcW w:w="534" w:type="pct"/>
            <w:tcBorders>
              <w:top w:val="nil"/>
              <w:left w:val="nil"/>
              <w:bottom w:val="nil"/>
              <w:right w:val="nil"/>
            </w:tcBorders>
            <w:shd w:val="clear" w:color="auto" w:fill="auto"/>
            <w:noWrap/>
            <w:vAlign w:val="bottom"/>
            <w:hideMark/>
          </w:tcPr>
          <w:p w:rsidR="003B577F" w:rsidRDefault="003B577F">
            <w:pPr>
              <w:rPr>
                <w:color w:val="000000"/>
                <w:sz w:val="22"/>
                <w:szCs w:val="22"/>
              </w:rPr>
            </w:pPr>
          </w:p>
        </w:tc>
        <w:tc>
          <w:tcPr>
            <w:tcW w:w="807" w:type="pct"/>
            <w:tcBorders>
              <w:top w:val="nil"/>
              <w:left w:val="single" w:sz="4" w:space="0" w:color="auto"/>
              <w:bottom w:val="nil"/>
              <w:right w:val="nil"/>
            </w:tcBorders>
            <w:shd w:val="clear" w:color="auto" w:fill="auto"/>
            <w:noWrap/>
            <w:vAlign w:val="bottom"/>
            <w:hideMark/>
          </w:tcPr>
          <w:p w:rsidR="003B577F" w:rsidRDefault="003B577F">
            <w:pPr>
              <w:jc w:val="right"/>
              <w:rPr>
                <w:sz w:val="22"/>
                <w:szCs w:val="22"/>
              </w:rPr>
            </w:pPr>
            <w:r>
              <w:rPr>
                <w:sz w:val="22"/>
                <w:szCs w:val="22"/>
              </w:rPr>
              <w:t>-2.832.342,71</w:t>
            </w:r>
          </w:p>
        </w:tc>
        <w:tc>
          <w:tcPr>
            <w:tcW w:w="825" w:type="pct"/>
            <w:tcBorders>
              <w:top w:val="nil"/>
              <w:left w:val="single" w:sz="4" w:space="0" w:color="auto"/>
              <w:bottom w:val="nil"/>
              <w:right w:val="single" w:sz="4"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-2.830.970,26</w:t>
            </w:r>
          </w:p>
        </w:tc>
      </w:tr>
      <w:tr w:rsidR="003B577F" w:rsidTr="003B577F">
        <w:trPr>
          <w:trHeight w:val="330"/>
        </w:trPr>
        <w:tc>
          <w:tcPr>
            <w:tcW w:w="123"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rsidR="003B577F" w:rsidRDefault="003B577F">
            <w:pPr>
              <w:rPr>
                <w:sz w:val="22"/>
                <w:szCs w:val="22"/>
              </w:rPr>
            </w:pPr>
          </w:p>
        </w:tc>
        <w:tc>
          <w:tcPr>
            <w:tcW w:w="2587" w:type="pct"/>
            <w:tcBorders>
              <w:top w:val="nil"/>
              <w:left w:val="nil"/>
              <w:bottom w:val="nil"/>
              <w:right w:val="nil"/>
            </w:tcBorders>
            <w:shd w:val="clear" w:color="auto" w:fill="auto"/>
            <w:noWrap/>
            <w:vAlign w:val="bottom"/>
            <w:hideMark/>
          </w:tcPr>
          <w:p w:rsidR="003B577F" w:rsidRDefault="003B577F">
            <w:pPr>
              <w:rPr>
                <w:b/>
                <w:bCs/>
                <w:i/>
                <w:iCs/>
                <w:color w:val="000000"/>
                <w:sz w:val="22"/>
                <w:szCs w:val="22"/>
              </w:rPr>
            </w:pPr>
            <w:r>
              <w:rPr>
                <w:b/>
                <w:bCs/>
                <w:i/>
                <w:iCs/>
                <w:color w:val="000000"/>
                <w:sz w:val="22"/>
                <w:szCs w:val="22"/>
              </w:rPr>
              <w:t>Σύνολο</w:t>
            </w:r>
          </w:p>
        </w:tc>
        <w:tc>
          <w:tcPr>
            <w:tcW w:w="534" w:type="pct"/>
            <w:tcBorders>
              <w:top w:val="nil"/>
              <w:left w:val="nil"/>
              <w:bottom w:val="nil"/>
              <w:right w:val="nil"/>
            </w:tcBorders>
            <w:shd w:val="clear" w:color="auto" w:fill="auto"/>
            <w:noWrap/>
            <w:vAlign w:val="bottom"/>
            <w:hideMark/>
          </w:tcPr>
          <w:p w:rsidR="003B577F" w:rsidRDefault="003B577F">
            <w:pPr>
              <w:rPr>
                <w:b/>
                <w:bCs/>
                <w:i/>
                <w:iCs/>
                <w:color w:val="000000"/>
                <w:sz w:val="22"/>
                <w:szCs w:val="22"/>
              </w:rPr>
            </w:pPr>
          </w:p>
        </w:tc>
        <w:tc>
          <w:tcPr>
            <w:tcW w:w="807" w:type="pct"/>
            <w:tcBorders>
              <w:top w:val="single" w:sz="4" w:space="0" w:color="auto"/>
              <w:left w:val="single" w:sz="4" w:space="0" w:color="auto"/>
              <w:bottom w:val="double" w:sz="6" w:space="0" w:color="auto"/>
              <w:right w:val="nil"/>
            </w:tcBorders>
            <w:shd w:val="clear" w:color="auto" w:fill="auto"/>
            <w:noWrap/>
            <w:vAlign w:val="bottom"/>
            <w:hideMark/>
          </w:tcPr>
          <w:p w:rsidR="003B577F" w:rsidRDefault="003B577F">
            <w:pPr>
              <w:jc w:val="right"/>
              <w:rPr>
                <w:b/>
                <w:bCs/>
                <w:i/>
                <w:iCs/>
                <w:sz w:val="22"/>
                <w:szCs w:val="22"/>
              </w:rPr>
            </w:pPr>
            <w:r>
              <w:rPr>
                <w:b/>
                <w:bCs/>
                <w:i/>
                <w:iCs/>
                <w:sz w:val="22"/>
                <w:szCs w:val="22"/>
              </w:rPr>
              <w:t>-2.832.342,71</w:t>
            </w:r>
          </w:p>
        </w:tc>
        <w:tc>
          <w:tcPr>
            <w:tcW w:w="825"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rsidR="003B577F" w:rsidRDefault="003B577F">
            <w:pPr>
              <w:jc w:val="right"/>
              <w:rPr>
                <w:b/>
                <w:bCs/>
                <w:i/>
                <w:iCs/>
                <w:color w:val="000000"/>
                <w:sz w:val="22"/>
                <w:szCs w:val="22"/>
              </w:rPr>
            </w:pPr>
            <w:r>
              <w:rPr>
                <w:b/>
                <w:bCs/>
                <w:i/>
                <w:iCs/>
                <w:color w:val="000000"/>
                <w:sz w:val="22"/>
                <w:szCs w:val="22"/>
              </w:rPr>
              <w:t>-2.830.970,26</w:t>
            </w:r>
          </w:p>
        </w:tc>
      </w:tr>
      <w:tr w:rsidR="003B577F" w:rsidTr="003B577F">
        <w:trPr>
          <w:trHeight w:val="330"/>
        </w:trPr>
        <w:tc>
          <w:tcPr>
            <w:tcW w:w="123"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rsidR="003B577F" w:rsidRDefault="003B577F">
            <w:pPr>
              <w:rPr>
                <w:sz w:val="22"/>
                <w:szCs w:val="22"/>
              </w:rPr>
            </w:pPr>
          </w:p>
        </w:tc>
        <w:tc>
          <w:tcPr>
            <w:tcW w:w="2587" w:type="pct"/>
            <w:tcBorders>
              <w:top w:val="nil"/>
              <w:left w:val="nil"/>
              <w:bottom w:val="nil"/>
              <w:right w:val="nil"/>
            </w:tcBorders>
            <w:shd w:val="clear" w:color="auto" w:fill="auto"/>
            <w:noWrap/>
            <w:vAlign w:val="bottom"/>
            <w:hideMark/>
          </w:tcPr>
          <w:p w:rsidR="003B577F" w:rsidRDefault="003B577F">
            <w:pPr>
              <w:rPr>
                <w:b/>
                <w:bCs/>
                <w:color w:val="000000"/>
                <w:sz w:val="22"/>
                <w:szCs w:val="22"/>
              </w:rPr>
            </w:pPr>
            <w:r>
              <w:rPr>
                <w:b/>
                <w:bCs/>
                <w:color w:val="000000"/>
                <w:sz w:val="22"/>
                <w:szCs w:val="22"/>
              </w:rPr>
              <w:t>Σύνολο καθαρής θέσης</w:t>
            </w:r>
          </w:p>
        </w:tc>
        <w:tc>
          <w:tcPr>
            <w:tcW w:w="534" w:type="pct"/>
            <w:tcBorders>
              <w:top w:val="nil"/>
              <w:left w:val="nil"/>
              <w:bottom w:val="nil"/>
              <w:right w:val="nil"/>
            </w:tcBorders>
            <w:shd w:val="clear" w:color="auto" w:fill="auto"/>
            <w:noWrap/>
            <w:vAlign w:val="bottom"/>
            <w:hideMark/>
          </w:tcPr>
          <w:p w:rsidR="003B577F" w:rsidRDefault="003B577F">
            <w:pPr>
              <w:rPr>
                <w:b/>
                <w:bCs/>
                <w:color w:val="000000"/>
                <w:sz w:val="22"/>
                <w:szCs w:val="22"/>
              </w:rPr>
            </w:pPr>
          </w:p>
        </w:tc>
        <w:tc>
          <w:tcPr>
            <w:tcW w:w="807" w:type="pct"/>
            <w:tcBorders>
              <w:top w:val="single" w:sz="4" w:space="0" w:color="auto"/>
              <w:left w:val="single" w:sz="4" w:space="0" w:color="auto"/>
              <w:bottom w:val="double" w:sz="6" w:space="0" w:color="auto"/>
              <w:right w:val="nil"/>
            </w:tcBorders>
            <w:shd w:val="clear" w:color="auto" w:fill="auto"/>
            <w:noWrap/>
            <w:vAlign w:val="bottom"/>
            <w:hideMark/>
          </w:tcPr>
          <w:p w:rsidR="003B577F" w:rsidRDefault="003B577F">
            <w:pPr>
              <w:jc w:val="right"/>
              <w:rPr>
                <w:b/>
                <w:bCs/>
                <w:i/>
                <w:iCs/>
                <w:sz w:val="22"/>
                <w:szCs w:val="22"/>
              </w:rPr>
            </w:pPr>
            <w:r>
              <w:rPr>
                <w:b/>
                <w:bCs/>
                <w:i/>
                <w:iCs/>
                <w:sz w:val="22"/>
                <w:szCs w:val="22"/>
              </w:rPr>
              <w:t>-490.342,71</w:t>
            </w:r>
          </w:p>
        </w:tc>
        <w:tc>
          <w:tcPr>
            <w:tcW w:w="825"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rsidR="003B577F" w:rsidRDefault="003B577F">
            <w:pPr>
              <w:jc w:val="right"/>
              <w:rPr>
                <w:b/>
                <w:bCs/>
                <w:i/>
                <w:iCs/>
                <w:color w:val="000000"/>
                <w:sz w:val="22"/>
                <w:szCs w:val="22"/>
              </w:rPr>
            </w:pPr>
            <w:r>
              <w:rPr>
                <w:b/>
                <w:bCs/>
                <w:i/>
                <w:iCs/>
                <w:color w:val="000000"/>
                <w:sz w:val="22"/>
                <w:szCs w:val="22"/>
              </w:rPr>
              <w:t>-488.970,26</w:t>
            </w:r>
          </w:p>
        </w:tc>
      </w:tr>
      <w:tr w:rsidR="003B577F" w:rsidTr="003B577F">
        <w:trPr>
          <w:trHeight w:val="330"/>
        </w:trPr>
        <w:tc>
          <w:tcPr>
            <w:tcW w:w="2833" w:type="pct"/>
            <w:gridSpan w:val="3"/>
            <w:tcBorders>
              <w:top w:val="nil"/>
              <w:left w:val="single" w:sz="4" w:space="0" w:color="auto"/>
              <w:bottom w:val="nil"/>
              <w:right w:val="nil"/>
            </w:tcBorders>
            <w:shd w:val="clear" w:color="auto" w:fill="auto"/>
            <w:noWrap/>
            <w:vAlign w:val="bottom"/>
            <w:hideMark/>
          </w:tcPr>
          <w:p w:rsidR="003B577F" w:rsidRDefault="003B577F">
            <w:pPr>
              <w:rPr>
                <w:b/>
                <w:bCs/>
                <w:color w:val="000000"/>
                <w:sz w:val="22"/>
                <w:szCs w:val="22"/>
              </w:rPr>
            </w:pPr>
            <w:r>
              <w:rPr>
                <w:b/>
                <w:bCs/>
                <w:color w:val="000000"/>
                <w:sz w:val="22"/>
                <w:szCs w:val="22"/>
              </w:rPr>
              <w:t>Υποχρεώσεις</w:t>
            </w:r>
          </w:p>
        </w:tc>
        <w:tc>
          <w:tcPr>
            <w:tcW w:w="534" w:type="pct"/>
            <w:tcBorders>
              <w:top w:val="nil"/>
              <w:left w:val="nil"/>
              <w:bottom w:val="nil"/>
              <w:right w:val="nil"/>
            </w:tcBorders>
            <w:shd w:val="clear" w:color="auto" w:fill="auto"/>
            <w:noWrap/>
            <w:vAlign w:val="bottom"/>
            <w:hideMark/>
          </w:tcPr>
          <w:p w:rsidR="003B577F" w:rsidRDefault="003B577F">
            <w:pPr>
              <w:rPr>
                <w:b/>
                <w:bCs/>
                <w:color w:val="000000"/>
                <w:sz w:val="22"/>
                <w:szCs w:val="22"/>
              </w:rPr>
            </w:pPr>
          </w:p>
        </w:tc>
        <w:tc>
          <w:tcPr>
            <w:tcW w:w="807"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825" w:type="pct"/>
            <w:tcBorders>
              <w:top w:val="nil"/>
              <w:left w:val="single" w:sz="4" w:space="0" w:color="auto"/>
              <w:bottom w:val="nil"/>
              <w:right w:val="single" w:sz="4" w:space="0" w:color="auto"/>
            </w:tcBorders>
            <w:shd w:val="clear" w:color="auto" w:fill="auto"/>
            <w:noWrap/>
            <w:vAlign w:val="bottom"/>
            <w:hideMark/>
          </w:tcPr>
          <w:p w:rsidR="003B577F" w:rsidRDefault="003B577F">
            <w:pPr>
              <w:rPr>
                <w:color w:val="000000"/>
                <w:sz w:val="22"/>
                <w:szCs w:val="22"/>
              </w:rPr>
            </w:pPr>
            <w:r>
              <w:rPr>
                <w:color w:val="000000"/>
                <w:sz w:val="22"/>
                <w:szCs w:val="22"/>
              </w:rPr>
              <w:t> </w:t>
            </w:r>
          </w:p>
        </w:tc>
      </w:tr>
      <w:tr w:rsidR="003B577F" w:rsidTr="003B577F">
        <w:trPr>
          <w:trHeight w:val="330"/>
        </w:trPr>
        <w:tc>
          <w:tcPr>
            <w:tcW w:w="123"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2710" w:type="pct"/>
            <w:gridSpan w:val="2"/>
            <w:tcBorders>
              <w:top w:val="nil"/>
              <w:left w:val="nil"/>
              <w:bottom w:val="nil"/>
              <w:right w:val="nil"/>
            </w:tcBorders>
            <w:shd w:val="clear" w:color="auto" w:fill="auto"/>
            <w:noWrap/>
            <w:vAlign w:val="bottom"/>
            <w:hideMark/>
          </w:tcPr>
          <w:p w:rsidR="003B577F" w:rsidRDefault="003B577F">
            <w:pPr>
              <w:rPr>
                <w:b/>
                <w:bCs/>
                <w:i/>
                <w:iCs/>
                <w:color w:val="000000"/>
                <w:sz w:val="22"/>
                <w:szCs w:val="22"/>
              </w:rPr>
            </w:pPr>
            <w:r>
              <w:rPr>
                <w:b/>
                <w:bCs/>
                <w:i/>
                <w:iCs/>
                <w:color w:val="000000"/>
                <w:sz w:val="22"/>
                <w:szCs w:val="22"/>
              </w:rPr>
              <w:t>Βραχυπρόθεσμες υποχρεώσεις</w:t>
            </w:r>
          </w:p>
        </w:tc>
        <w:tc>
          <w:tcPr>
            <w:tcW w:w="534" w:type="pct"/>
            <w:tcBorders>
              <w:top w:val="nil"/>
              <w:left w:val="nil"/>
              <w:bottom w:val="nil"/>
              <w:right w:val="nil"/>
            </w:tcBorders>
            <w:shd w:val="clear" w:color="auto" w:fill="auto"/>
            <w:noWrap/>
            <w:vAlign w:val="bottom"/>
            <w:hideMark/>
          </w:tcPr>
          <w:p w:rsidR="003B577F" w:rsidRDefault="003B577F">
            <w:pPr>
              <w:rPr>
                <w:b/>
                <w:bCs/>
                <w:i/>
                <w:iCs/>
                <w:color w:val="000000"/>
                <w:sz w:val="22"/>
                <w:szCs w:val="22"/>
              </w:rPr>
            </w:pPr>
          </w:p>
        </w:tc>
        <w:tc>
          <w:tcPr>
            <w:tcW w:w="807"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825" w:type="pct"/>
            <w:tcBorders>
              <w:top w:val="nil"/>
              <w:left w:val="single" w:sz="4" w:space="0" w:color="auto"/>
              <w:bottom w:val="nil"/>
              <w:right w:val="single" w:sz="4" w:space="0" w:color="auto"/>
            </w:tcBorders>
            <w:shd w:val="clear" w:color="auto" w:fill="auto"/>
            <w:noWrap/>
            <w:vAlign w:val="bottom"/>
            <w:hideMark/>
          </w:tcPr>
          <w:p w:rsidR="003B577F" w:rsidRDefault="003B577F">
            <w:pPr>
              <w:rPr>
                <w:color w:val="000000"/>
                <w:sz w:val="22"/>
                <w:szCs w:val="22"/>
              </w:rPr>
            </w:pPr>
            <w:r>
              <w:rPr>
                <w:color w:val="000000"/>
                <w:sz w:val="22"/>
                <w:szCs w:val="22"/>
              </w:rPr>
              <w:t> </w:t>
            </w:r>
          </w:p>
        </w:tc>
      </w:tr>
      <w:tr w:rsidR="003B577F" w:rsidTr="003B577F">
        <w:trPr>
          <w:trHeight w:val="330"/>
        </w:trPr>
        <w:tc>
          <w:tcPr>
            <w:tcW w:w="123"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rsidR="003B577F" w:rsidRDefault="003B577F">
            <w:pPr>
              <w:rPr>
                <w:sz w:val="22"/>
                <w:szCs w:val="22"/>
              </w:rPr>
            </w:pPr>
          </w:p>
        </w:tc>
        <w:tc>
          <w:tcPr>
            <w:tcW w:w="2587" w:type="pct"/>
            <w:tcBorders>
              <w:top w:val="nil"/>
              <w:left w:val="nil"/>
              <w:bottom w:val="nil"/>
              <w:right w:val="nil"/>
            </w:tcBorders>
            <w:shd w:val="clear" w:color="auto" w:fill="auto"/>
            <w:noWrap/>
            <w:vAlign w:val="bottom"/>
            <w:hideMark/>
          </w:tcPr>
          <w:p w:rsidR="003B577F" w:rsidRDefault="003B577F">
            <w:pPr>
              <w:rPr>
                <w:color w:val="000000"/>
                <w:sz w:val="22"/>
                <w:szCs w:val="22"/>
              </w:rPr>
            </w:pPr>
            <w:r>
              <w:rPr>
                <w:color w:val="000000"/>
                <w:sz w:val="22"/>
                <w:szCs w:val="22"/>
              </w:rPr>
              <w:t>Εμπορικές υποχρεώσεις</w:t>
            </w:r>
          </w:p>
        </w:tc>
        <w:tc>
          <w:tcPr>
            <w:tcW w:w="534" w:type="pct"/>
            <w:tcBorders>
              <w:top w:val="nil"/>
              <w:left w:val="nil"/>
              <w:bottom w:val="nil"/>
              <w:right w:val="nil"/>
            </w:tcBorders>
            <w:shd w:val="clear" w:color="auto" w:fill="auto"/>
            <w:noWrap/>
            <w:vAlign w:val="bottom"/>
            <w:hideMark/>
          </w:tcPr>
          <w:p w:rsidR="003B577F" w:rsidRDefault="003B577F">
            <w:pPr>
              <w:jc w:val="center"/>
              <w:rPr>
                <w:color w:val="000000"/>
                <w:sz w:val="22"/>
                <w:szCs w:val="22"/>
              </w:rPr>
            </w:pPr>
            <w:r>
              <w:rPr>
                <w:color w:val="000000"/>
                <w:sz w:val="22"/>
                <w:szCs w:val="22"/>
              </w:rPr>
              <w:t>10.2.1</w:t>
            </w:r>
          </w:p>
        </w:tc>
        <w:tc>
          <w:tcPr>
            <w:tcW w:w="807" w:type="pct"/>
            <w:tcBorders>
              <w:top w:val="nil"/>
              <w:left w:val="single" w:sz="4" w:space="0" w:color="auto"/>
              <w:bottom w:val="nil"/>
              <w:right w:val="nil"/>
            </w:tcBorders>
            <w:shd w:val="clear" w:color="auto" w:fill="auto"/>
            <w:noWrap/>
            <w:vAlign w:val="bottom"/>
            <w:hideMark/>
          </w:tcPr>
          <w:p w:rsidR="003B577F" w:rsidRDefault="003B577F">
            <w:pPr>
              <w:jc w:val="right"/>
              <w:rPr>
                <w:sz w:val="22"/>
                <w:szCs w:val="22"/>
              </w:rPr>
            </w:pPr>
            <w:r>
              <w:rPr>
                <w:sz w:val="22"/>
                <w:szCs w:val="22"/>
              </w:rPr>
              <w:t>1.609,17</w:t>
            </w:r>
          </w:p>
        </w:tc>
        <w:tc>
          <w:tcPr>
            <w:tcW w:w="825" w:type="pct"/>
            <w:tcBorders>
              <w:top w:val="nil"/>
              <w:left w:val="single" w:sz="4" w:space="0" w:color="auto"/>
              <w:bottom w:val="nil"/>
              <w:right w:val="single" w:sz="4"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882,98</w:t>
            </w:r>
          </w:p>
        </w:tc>
      </w:tr>
      <w:tr w:rsidR="003B577F" w:rsidTr="003B577F">
        <w:trPr>
          <w:trHeight w:val="330"/>
        </w:trPr>
        <w:tc>
          <w:tcPr>
            <w:tcW w:w="123"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rsidR="003B577F" w:rsidRDefault="003B577F">
            <w:pPr>
              <w:rPr>
                <w:sz w:val="22"/>
                <w:szCs w:val="22"/>
              </w:rPr>
            </w:pPr>
          </w:p>
        </w:tc>
        <w:tc>
          <w:tcPr>
            <w:tcW w:w="2587" w:type="pct"/>
            <w:tcBorders>
              <w:top w:val="nil"/>
              <w:left w:val="nil"/>
              <w:bottom w:val="nil"/>
              <w:right w:val="nil"/>
            </w:tcBorders>
            <w:shd w:val="clear" w:color="auto" w:fill="auto"/>
            <w:noWrap/>
            <w:vAlign w:val="bottom"/>
            <w:hideMark/>
          </w:tcPr>
          <w:p w:rsidR="003B577F" w:rsidRDefault="003B577F">
            <w:pPr>
              <w:rPr>
                <w:color w:val="000000"/>
                <w:sz w:val="22"/>
                <w:szCs w:val="22"/>
              </w:rPr>
            </w:pPr>
            <w:r>
              <w:rPr>
                <w:color w:val="000000"/>
                <w:sz w:val="22"/>
                <w:szCs w:val="22"/>
              </w:rPr>
              <w:t>Λοιποί φόροι και τέλη</w:t>
            </w:r>
          </w:p>
        </w:tc>
        <w:tc>
          <w:tcPr>
            <w:tcW w:w="534" w:type="pct"/>
            <w:tcBorders>
              <w:top w:val="nil"/>
              <w:left w:val="nil"/>
              <w:bottom w:val="nil"/>
              <w:right w:val="nil"/>
            </w:tcBorders>
            <w:shd w:val="clear" w:color="auto" w:fill="auto"/>
            <w:noWrap/>
            <w:vAlign w:val="bottom"/>
            <w:hideMark/>
          </w:tcPr>
          <w:p w:rsidR="003B577F" w:rsidRDefault="003B577F">
            <w:pPr>
              <w:rPr>
                <w:color w:val="000000"/>
                <w:sz w:val="22"/>
                <w:szCs w:val="22"/>
              </w:rPr>
            </w:pPr>
          </w:p>
        </w:tc>
        <w:tc>
          <w:tcPr>
            <w:tcW w:w="807" w:type="pct"/>
            <w:tcBorders>
              <w:top w:val="nil"/>
              <w:left w:val="single" w:sz="4" w:space="0" w:color="auto"/>
              <w:bottom w:val="nil"/>
              <w:right w:val="nil"/>
            </w:tcBorders>
            <w:shd w:val="clear" w:color="auto" w:fill="auto"/>
            <w:noWrap/>
            <w:vAlign w:val="bottom"/>
            <w:hideMark/>
          </w:tcPr>
          <w:p w:rsidR="003B577F" w:rsidRDefault="003B577F">
            <w:pPr>
              <w:jc w:val="right"/>
              <w:rPr>
                <w:sz w:val="22"/>
                <w:szCs w:val="22"/>
              </w:rPr>
            </w:pPr>
            <w:r>
              <w:rPr>
                <w:sz w:val="22"/>
                <w:szCs w:val="22"/>
              </w:rPr>
              <w:t>220,84</w:t>
            </w:r>
          </w:p>
        </w:tc>
        <w:tc>
          <w:tcPr>
            <w:tcW w:w="825" w:type="pct"/>
            <w:tcBorders>
              <w:top w:val="nil"/>
              <w:left w:val="single" w:sz="4" w:space="0" w:color="auto"/>
              <w:bottom w:val="nil"/>
              <w:right w:val="single" w:sz="4"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350,00</w:t>
            </w:r>
          </w:p>
        </w:tc>
      </w:tr>
      <w:tr w:rsidR="003B577F" w:rsidTr="003B577F">
        <w:trPr>
          <w:trHeight w:val="330"/>
        </w:trPr>
        <w:tc>
          <w:tcPr>
            <w:tcW w:w="123"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rsidR="003B577F" w:rsidRDefault="003B577F">
            <w:pPr>
              <w:rPr>
                <w:sz w:val="22"/>
                <w:szCs w:val="22"/>
              </w:rPr>
            </w:pPr>
          </w:p>
        </w:tc>
        <w:tc>
          <w:tcPr>
            <w:tcW w:w="2587" w:type="pct"/>
            <w:tcBorders>
              <w:top w:val="nil"/>
              <w:left w:val="nil"/>
              <w:bottom w:val="nil"/>
              <w:right w:val="nil"/>
            </w:tcBorders>
            <w:shd w:val="clear" w:color="auto" w:fill="auto"/>
            <w:noWrap/>
            <w:vAlign w:val="bottom"/>
            <w:hideMark/>
          </w:tcPr>
          <w:p w:rsidR="003B577F" w:rsidRDefault="003B577F">
            <w:pPr>
              <w:rPr>
                <w:color w:val="000000"/>
                <w:sz w:val="22"/>
                <w:szCs w:val="22"/>
              </w:rPr>
            </w:pPr>
            <w:r>
              <w:rPr>
                <w:color w:val="000000"/>
                <w:sz w:val="22"/>
                <w:szCs w:val="22"/>
              </w:rPr>
              <w:t>Λοιπές υποχρεώσεις</w:t>
            </w:r>
          </w:p>
        </w:tc>
        <w:tc>
          <w:tcPr>
            <w:tcW w:w="534" w:type="pct"/>
            <w:tcBorders>
              <w:top w:val="nil"/>
              <w:left w:val="nil"/>
              <w:bottom w:val="nil"/>
              <w:right w:val="nil"/>
            </w:tcBorders>
            <w:shd w:val="clear" w:color="auto" w:fill="auto"/>
            <w:noWrap/>
            <w:vAlign w:val="bottom"/>
            <w:hideMark/>
          </w:tcPr>
          <w:p w:rsidR="003B577F" w:rsidRDefault="003B577F">
            <w:pPr>
              <w:jc w:val="center"/>
              <w:rPr>
                <w:color w:val="000000"/>
                <w:sz w:val="22"/>
                <w:szCs w:val="22"/>
              </w:rPr>
            </w:pPr>
            <w:r>
              <w:rPr>
                <w:color w:val="000000"/>
                <w:sz w:val="22"/>
                <w:szCs w:val="22"/>
              </w:rPr>
              <w:t>10.2.2</w:t>
            </w:r>
          </w:p>
        </w:tc>
        <w:tc>
          <w:tcPr>
            <w:tcW w:w="807" w:type="pct"/>
            <w:tcBorders>
              <w:top w:val="nil"/>
              <w:left w:val="single" w:sz="4" w:space="0" w:color="auto"/>
              <w:bottom w:val="nil"/>
              <w:right w:val="nil"/>
            </w:tcBorders>
            <w:shd w:val="clear" w:color="auto" w:fill="auto"/>
            <w:noWrap/>
            <w:vAlign w:val="bottom"/>
            <w:hideMark/>
          </w:tcPr>
          <w:p w:rsidR="003B577F" w:rsidRDefault="003B577F">
            <w:pPr>
              <w:jc w:val="right"/>
              <w:rPr>
                <w:sz w:val="22"/>
                <w:szCs w:val="22"/>
              </w:rPr>
            </w:pPr>
            <w:r>
              <w:rPr>
                <w:sz w:val="22"/>
                <w:szCs w:val="22"/>
              </w:rPr>
              <w:t>602.675,00</w:t>
            </w:r>
          </w:p>
        </w:tc>
        <w:tc>
          <w:tcPr>
            <w:tcW w:w="825" w:type="pct"/>
            <w:tcBorders>
              <w:top w:val="nil"/>
              <w:left w:val="single" w:sz="4" w:space="0" w:color="auto"/>
              <w:bottom w:val="nil"/>
              <w:right w:val="single" w:sz="4"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602.675,00</w:t>
            </w:r>
          </w:p>
        </w:tc>
      </w:tr>
      <w:tr w:rsidR="003B577F" w:rsidTr="003B577F">
        <w:trPr>
          <w:trHeight w:val="330"/>
        </w:trPr>
        <w:tc>
          <w:tcPr>
            <w:tcW w:w="123"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rsidR="003B577F" w:rsidRDefault="003B577F">
            <w:pPr>
              <w:rPr>
                <w:sz w:val="22"/>
                <w:szCs w:val="22"/>
              </w:rPr>
            </w:pPr>
          </w:p>
        </w:tc>
        <w:tc>
          <w:tcPr>
            <w:tcW w:w="2587" w:type="pct"/>
            <w:tcBorders>
              <w:top w:val="nil"/>
              <w:left w:val="nil"/>
              <w:bottom w:val="nil"/>
              <w:right w:val="nil"/>
            </w:tcBorders>
            <w:shd w:val="clear" w:color="auto" w:fill="auto"/>
            <w:noWrap/>
            <w:vAlign w:val="bottom"/>
            <w:hideMark/>
          </w:tcPr>
          <w:p w:rsidR="003B577F" w:rsidRDefault="003B577F">
            <w:pPr>
              <w:rPr>
                <w:b/>
                <w:bCs/>
                <w:i/>
                <w:iCs/>
                <w:color w:val="000000"/>
                <w:sz w:val="22"/>
                <w:szCs w:val="22"/>
              </w:rPr>
            </w:pPr>
            <w:r>
              <w:rPr>
                <w:b/>
                <w:bCs/>
                <w:i/>
                <w:iCs/>
                <w:color w:val="000000"/>
                <w:sz w:val="22"/>
                <w:szCs w:val="22"/>
              </w:rPr>
              <w:t>Σύνολο</w:t>
            </w:r>
          </w:p>
        </w:tc>
        <w:tc>
          <w:tcPr>
            <w:tcW w:w="534" w:type="pct"/>
            <w:tcBorders>
              <w:top w:val="nil"/>
              <w:left w:val="nil"/>
              <w:bottom w:val="nil"/>
              <w:right w:val="nil"/>
            </w:tcBorders>
            <w:shd w:val="clear" w:color="auto" w:fill="auto"/>
            <w:noWrap/>
            <w:vAlign w:val="bottom"/>
            <w:hideMark/>
          </w:tcPr>
          <w:p w:rsidR="003B577F" w:rsidRDefault="003B577F">
            <w:pPr>
              <w:rPr>
                <w:b/>
                <w:bCs/>
                <w:i/>
                <w:iCs/>
                <w:color w:val="000000"/>
                <w:sz w:val="22"/>
                <w:szCs w:val="22"/>
              </w:rPr>
            </w:pPr>
          </w:p>
        </w:tc>
        <w:tc>
          <w:tcPr>
            <w:tcW w:w="807" w:type="pct"/>
            <w:tcBorders>
              <w:top w:val="single" w:sz="4" w:space="0" w:color="auto"/>
              <w:left w:val="single" w:sz="4" w:space="0" w:color="auto"/>
              <w:bottom w:val="double" w:sz="6" w:space="0" w:color="auto"/>
              <w:right w:val="nil"/>
            </w:tcBorders>
            <w:shd w:val="clear" w:color="auto" w:fill="auto"/>
            <w:noWrap/>
            <w:vAlign w:val="bottom"/>
            <w:hideMark/>
          </w:tcPr>
          <w:p w:rsidR="003B577F" w:rsidRDefault="003B577F">
            <w:pPr>
              <w:jc w:val="right"/>
              <w:rPr>
                <w:b/>
                <w:bCs/>
                <w:i/>
                <w:iCs/>
                <w:sz w:val="22"/>
                <w:szCs w:val="22"/>
              </w:rPr>
            </w:pPr>
            <w:r>
              <w:rPr>
                <w:b/>
                <w:bCs/>
                <w:i/>
                <w:iCs/>
                <w:sz w:val="22"/>
                <w:szCs w:val="22"/>
              </w:rPr>
              <w:t>604.505,01</w:t>
            </w:r>
          </w:p>
        </w:tc>
        <w:tc>
          <w:tcPr>
            <w:tcW w:w="825"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rsidR="003B577F" w:rsidRDefault="003B577F">
            <w:pPr>
              <w:jc w:val="right"/>
              <w:rPr>
                <w:b/>
                <w:bCs/>
                <w:i/>
                <w:iCs/>
                <w:color w:val="000000"/>
                <w:sz w:val="22"/>
                <w:szCs w:val="22"/>
              </w:rPr>
            </w:pPr>
            <w:r>
              <w:rPr>
                <w:b/>
                <w:bCs/>
                <w:i/>
                <w:iCs/>
                <w:color w:val="000000"/>
                <w:sz w:val="22"/>
                <w:szCs w:val="22"/>
              </w:rPr>
              <w:t>603.907,98</w:t>
            </w:r>
          </w:p>
        </w:tc>
      </w:tr>
      <w:tr w:rsidR="003B577F" w:rsidTr="003B577F">
        <w:trPr>
          <w:trHeight w:val="330"/>
        </w:trPr>
        <w:tc>
          <w:tcPr>
            <w:tcW w:w="123" w:type="pct"/>
            <w:tcBorders>
              <w:top w:val="nil"/>
              <w:left w:val="single" w:sz="4" w:space="0" w:color="auto"/>
              <w:bottom w:val="nil"/>
              <w:right w:val="nil"/>
            </w:tcBorders>
            <w:shd w:val="clear" w:color="auto" w:fill="auto"/>
            <w:noWrap/>
            <w:vAlign w:val="bottom"/>
            <w:hideMark/>
          </w:tcPr>
          <w:p w:rsidR="003B577F" w:rsidRDefault="003B577F">
            <w:pPr>
              <w:rPr>
                <w:sz w:val="22"/>
                <w:szCs w:val="22"/>
              </w:rPr>
            </w:pPr>
            <w:r>
              <w:rPr>
                <w:sz w:val="22"/>
                <w:szCs w:val="22"/>
              </w:rPr>
              <w:t> </w:t>
            </w:r>
          </w:p>
        </w:tc>
        <w:tc>
          <w:tcPr>
            <w:tcW w:w="123" w:type="pct"/>
            <w:tcBorders>
              <w:top w:val="nil"/>
              <w:left w:val="nil"/>
              <w:bottom w:val="nil"/>
              <w:right w:val="nil"/>
            </w:tcBorders>
            <w:shd w:val="clear" w:color="auto" w:fill="auto"/>
            <w:noWrap/>
            <w:vAlign w:val="bottom"/>
            <w:hideMark/>
          </w:tcPr>
          <w:p w:rsidR="003B577F" w:rsidRDefault="003B577F">
            <w:pPr>
              <w:rPr>
                <w:sz w:val="22"/>
                <w:szCs w:val="22"/>
              </w:rPr>
            </w:pPr>
          </w:p>
        </w:tc>
        <w:tc>
          <w:tcPr>
            <w:tcW w:w="2587" w:type="pct"/>
            <w:tcBorders>
              <w:top w:val="nil"/>
              <w:left w:val="nil"/>
              <w:bottom w:val="nil"/>
              <w:right w:val="nil"/>
            </w:tcBorders>
            <w:shd w:val="clear" w:color="auto" w:fill="auto"/>
            <w:noWrap/>
            <w:vAlign w:val="bottom"/>
            <w:hideMark/>
          </w:tcPr>
          <w:p w:rsidR="003B577F" w:rsidRDefault="003B577F">
            <w:pPr>
              <w:rPr>
                <w:b/>
                <w:bCs/>
                <w:color w:val="000000"/>
                <w:sz w:val="22"/>
                <w:szCs w:val="22"/>
              </w:rPr>
            </w:pPr>
            <w:r>
              <w:rPr>
                <w:b/>
                <w:bCs/>
                <w:color w:val="000000"/>
                <w:sz w:val="22"/>
                <w:szCs w:val="22"/>
              </w:rPr>
              <w:t>Σύνολο υποχρεώσεων</w:t>
            </w:r>
          </w:p>
        </w:tc>
        <w:tc>
          <w:tcPr>
            <w:tcW w:w="534" w:type="pct"/>
            <w:tcBorders>
              <w:top w:val="nil"/>
              <w:left w:val="nil"/>
              <w:bottom w:val="nil"/>
              <w:right w:val="nil"/>
            </w:tcBorders>
            <w:shd w:val="clear" w:color="auto" w:fill="auto"/>
            <w:vAlign w:val="bottom"/>
            <w:hideMark/>
          </w:tcPr>
          <w:p w:rsidR="003B577F" w:rsidRDefault="003B577F">
            <w:pPr>
              <w:rPr>
                <w:b/>
                <w:bCs/>
                <w:color w:val="000000"/>
                <w:sz w:val="22"/>
                <w:szCs w:val="22"/>
              </w:rPr>
            </w:pPr>
          </w:p>
        </w:tc>
        <w:tc>
          <w:tcPr>
            <w:tcW w:w="807" w:type="pct"/>
            <w:tcBorders>
              <w:top w:val="single" w:sz="4" w:space="0" w:color="auto"/>
              <w:left w:val="single" w:sz="4" w:space="0" w:color="auto"/>
              <w:bottom w:val="double" w:sz="6" w:space="0" w:color="auto"/>
              <w:right w:val="nil"/>
            </w:tcBorders>
            <w:shd w:val="clear" w:color="auto" w:fill="auto"/>
            <w:noWrap/>
            <w:vAlign w:val="bottom"/>
            <w:hideMark/>
          </w:tcPr>
          <w:p w:rsidR="003B577F" w:rsidRDefault="003B577F">
            <w:pPr>
              <w:jc w:val="right"/>
              <w:rPr>
                <w:b/>
                <w:bCs/>
                <w:sz w:val="22"/>
                <w:szCs w:val="22"/>
              </w:rPr>
            </w:pPr>
            <w:r>
              <w:rPr>
                <w:b/>
                <w:bCs/>
                <w:sz w:val="22"/>
                <w:szCs w:val="22"/>
              </w:rPr>
              <w:t>604.505,01</w:t>
            </w:r>
          </w:p>
        </w:tc>
        <w:tc>
          <w:tcPr>
            <w:tcW w:w="825" w:type="pct"/>
            <w:tcBorders>
              <w:top w:val="single" w:sz="4" w:space="0" w:color="auto"/>
              <w:left w:val="single" w:sz="4" w:space="0" w:color="auto"/>
              <w:bottom w:val="double" w:sz="6" w:space="0" w:color="auto"/>
              <w:right w:val="single" w:sz="4"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603.907,98</w:t>
            </w:r>
          </w:p>
        </w:tc>
      </w:tr>
      <w:tr w:rsidR="003B577F" w:rsidTr="003B577F">
        <w:trPr>
          <w:trHeight w:val="330"/>
        </w:trPr>
        <w:tc>
          <w:tcPr>
            <w:tcW w:w="123" w:type="pct"/>
            <w:tcBorders>
              <w:top w:val="nil"/>
              <w:left w:val="single" w:sz="4" w:space="0" w:color="auto"/>
              <w:bottom w:val="single" w:sz="4" w:space="0" w:color="auto"/>
              <w:right w:val="nil"/>
            </w:tcBorders>
            <w:shd w:val="clear" w:color="auto" w:fill="auto"/>
            <w:noWrap/>
            <w:vAlign w:val="bottom"/>
            <w:hideMark/>
          </w:tcPr>
          <w:p w:rsidR="003B577F" w:rsidRDefault="003B577F">
            <w:pPr>
              <w:rPr>
                <w:sz w:val="22"/>
                <w:szCs w:val="22"/>
              </w:rPr>
            </w:pPr>
            <w:r>
              <w:rPr>
                <w:sz w:val="22"/>
                <w:szCs w:val="22"/>
              </w:rPr>
              <w:t> </w:t>
            </w:r>
          </w:p>
        </w:tc>
        <w:tc>
          <w:tcPr>
            <w:tcW w:w="123" w:type="pct"/>
            <w:tcBorders>
              <w:top w:val="nil"/>
              <w:left w:val="nil"/>
              <w:bottom w:val="single" w:sz="4" w:space="0" w:color="auto"/>
              <w:right w:val="nil"/>
            </w:tcBorders>
            <w:shd w:val="clear" w:color="auto" w:fill="auto"/>
            <w:noWrap/>
            <w:vAlign w:val="bottom"/>
            <w:hideMark/>
          </w:tcPr>
          <w:p w:rsidR="003B577F" w:rsidRDefault="003B577F">
            <w:pPr>
              <w:rPr>
                <w:sz w:val="22"/>
                <w:szCs w:val="22"/>
              </w:rPr>
            </w:pPr>
            <w:r>
              <w:rPr>
                <w:sz w:val="22"/>
                <w:szCs w:val="22"/>
              </w:rPr>
              <w:t> </w:t>
            </w:r>
          </w:p>
        </w:tc>
        <w:tc>
          <w:tcPr>
            <w:tcW w:w="3121" w:type="pct"/>
            <w:gridSpan w:val="2"/>
            <w:tcBorders>
              <w:top w:val="nil"/>
              <w:left w:val="nil"/>
              <w:bottom w:val="single" w:sz="4" w:space="0" w:color="auto"/>
              <w:right w:val="nil"/>
            </w:tcBorders>
            <w:shd w:val="clear" w:color="auto" w:fill="auto"/>
            <w:noWrap/>
            <w:vAlign w:val="bottom"/>
            <w:hideMark/>
          </w:tcPr>
          <w:p w:rsidR="003B577F" w:rsidRDefault="003B577F">
            <w:pPr>
              <w:rPr>
                <w:b/>
                <w:bCs/>
                <w:color w:val="000000"/>
                <w:sz w:val="22"/>
                <w:szCs w:val="22"/>
              </w:rPr>
            </w:pPr>
            <w:r>
              <w:rPr>
                <w:b/>
                <w:bCs/>
                <w:color w:val="000000"/>
                <w:sz w:val="22"/>
                <w:szCs w:val="22"/>
              </w:rPr>
              <w:t>Σύνολο καθαρής θέσης, προβλέψεων και υποχρεώσεων</w:t>
            </w:r>
          </w:p>
        </w:tc>
        <w:tc>
          <w:tcPr>
            <w:tcW w:w="807" w:type="pct"/>
            <w:tcBorders>
              <w:top w:val="single" w:sz="4" w:space="0" w:color="auto"/>
              <w:left w:val="single" w:sz="4" w:space="0" w:color="auto"/>
              <w:bottom w:val="single" w:sz="4" w:space="0" w:color="auto"/>
              <w:right w:val="nil"/>
            </w:tcBorders>
            <w:shd w:val="clear" w:color="auto" w:fill="auto"/>
            <w:noWrap/>
            <w:vAlign w:val="bottom"/>
            <w:hideMark/>
          </w:tcPr>
          <w:p w:rsidR="003B577F" w:rsidRDefault="003B577F">
            <w:pPr>
              <w:jc w:val="right"/>
              <w:rPr>
                <w:b/>
                <w:bCs/>
                <w:sz w:val="22"/>
                <w:szCs w:val="22"/>
              </w:rPr>
            </w:pPr>
            <w:r>
              <w:rPr>
                <w:b/>
                <w:bCs/>
                <w:sz w:val="22"/>
                <w:szCs w:val="22"/>
              </w:rPr>
              <w:t>114.162,30</w:t>
            </w:r>
          </w:p>
        </w:tc>
        <w:tc>
          <w:tcPr>
            <w:tcW w:w="8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114.937,72</w:t>
            </w:r>
          </w:p>
        </w:tc>
      </w:tr>
    </w:tbl>
    <w:p w:rsidR="00F14C81" w:rsidRPr="00A131AE" w:rsidRDefault="00F14C81">
      <w:pPr>
        <w:tabs>
          <w:tab w:val="left" w:pos="5253"/>
          <w:tab w:val="left" w:pos="6062"/>
          <w:tab w:val="left" w:pos="7542"/>
        </w:tabs>
        <w:ind w:left="93"/>
        <w:rPr>
          <w:b/>
          <w:bCs/>
          <w:color w:val="000000"/>
          <w:sz w:val="18"/>
          <w:szCs w:val="18"/>
          <w:highlight w:val="yellow"/>
        </w:rPr>
      </w:pPr>
    </w:p>
    <w:p w:rsidR="00F14C81" w:rsidRPr="00A131AE" w:rsidRDefault="00F14C81" w:rsidP="00F14C81">
      <w:pPr>
        <w:rPr>
          <w:highlight w:val="yellow"/>
        </w:rPr>
      </w:pPr>
    </w:p>
    <w:p w:rsidR="00614F01" w:rsidRPr="001D11B6" w:rsidRDefault="00F14C81" w:rsidP="004A2266">
      <w:pPr>
        <w:pStyle w:val="1"/>
        <w:jc w:val="left"/>
        <w:rPr>
          <w:lang w:val="en-US"/>
        </w:rPr>
      </w:pPr>
      <w:r w:rsidRPr="00A131AE">
        <w:rPr>
          <w:highlight w:val="yellow"/>
        </w:rPr>
        <w:br w:type="page"/>
      </w:r>
      <w:bookmarkStart w:id="6" w:name="_Toc488058529"/>
      <w:bookmarkStart w:id="7" w:name="_Toc15545990"/>
      <w:r w:rsidR="00614F01" w:rsidRPr="001D11B6">
        <w:lastRenderedPageBreak/>
        <w:t>ΚΑΤΑΣΤΑΣΗ ΑΠΟΤΕΛΕΣΜΑΤΩΝ κατά ΛΕΙΤΟΥΡΓΙΑ</w:t>
      </w:r>
      <w:bookmarkEnd w:id="6"/>
      <w:bookmarkEnd w:id="7"/>
    </w:p>
    <w:p w:rsidR="00FF3764" w:rsidRPr="00A131AE" w:rsidRDefault="00FF3764" w:rsidP="00442E06">
      <w:pPr>
        <w:shd w:val="clear" w:color="auto" w:fill="FFFFFF"/>
        <w:spacing w:after="200" w:line="276" w:lineRule="auto"/>
        <w:ind w:left="5" w:right="14" w:hanging="5"/>
        <w:rPr>
          <w:b/>
          <w:sz w:val="22"/>
          <w:szCs w:val="22"/>
          <w:highlight w:val="yellow"/>
          <w:lang w:val="en-US"/>
        </w:rPr>
      </w:pPr>
    </w:p>
    <w:tbl>
      <w:tblPr>
        <w:tblW w:w="5000" w:type="pct"/>
        <w:tblLook w:val="04A0" w:firstRow="1" w:lastRow="0" w:firstColumn="1" w:lastColumn="0" w:noHBand="0" w:noVBand="1"/>
      </w:tblPr>
      <w:tblGrid>
        <w:gridCol w:w="4930"/>
        <w:gridCol w:w="713"/>
        <w:gridCol w:w="1893"/>
        <w:gridCol w:w="1798"/>
      </w:tblGrid>
      <w:tr w:rsidR="003B577F" w:rsidTr="003B577F">
        <w:trPr>
          <w:trHeight w:val="300"/>
        </w:trPr>
        <w:tc>
          <w:tcPr>
            <w:tcW w:w="2641" w:type="pct"/>
            <w:tcBorders>
              <w:top w:val="single" w:sz="8" w:space="0" w:color="auto"/>
              <w:left w:val="single" w:sz="8" w:space="0" w:color="auto"/>
              <w:bottom w:val="single" w:sz="8" w:space="0" w:color="auto"/>
              <w:right w:val="nil"/>
            </w:tcBorders>
            <w:shd w:val="clear" w:color="auto" w:fill="auto"/>
            <w:vAlign w:val="bottom"/>
            <w:hideMark/>
          </w:tcPr>
          <w:p w:rsidR="003B577F" w:rsidRDefault="003B577F">
            <w:pPr>
              <w:rPr>
                <w:b/>
                <w:bCs/>
                <w:i/>
                <w:iCs/>
                <w:color w:val="000000"/>
                <w:sz w:val="22"/>
                <w:szCs w:val="22"/>
              </w:rPr>
            </w:pPr>
            <w:r>
              <w:rPr>
                <w:b/>
                <w:bCs/>
                <w:i/>
                <w:iCs/>
                <w:color w:val="000000"/>
                <w:sz w:val="22"/>
                <w:szCs w:val="22"/>
              </w:rPr>
              <w:t> </w:t>
            </w:r>
          </w:p>
        </w:tc>
        <w:tc>
          <w:tcPr>
            <w:tcW w:w="382" w:type="pct"/>
            <w:tcBorders>
              <w:top w:val="single" w:sz="8" w:space="0" w:color="auto"/>
              <w:left w:val="nil"/>
              <w:bottom w:val="single" w:sz="8" w:space="0" w:color="auto"/>
              <w:right w:val="single" w:sz="8" w:space="0" w:color="auto"/>
            </w:tcBorders>
            <w:shd w:val="clear" w:color="auto" w:fill="auto"/>
            <w:vAlign w:val="bottom"/>
            <w:hideMark/>
          </w:tcPr>
          <w:p w:rsidR="003B577F" w:rsidRDefault="003B577F">
            <w:pPr>
              <w:jc w:val="center"/>
              <w:rPr>
                <w:b/>
                <w:bCs/>
                <w:color w:val="000000"/>
                <w:sz w:val="22"/>
                <w:szCs w:val="22"/>
              </w:rPr>
            </w:pPr>
            <w:r>
              <w:rPr>
                <w:b/>
                <w:bCs/>
                <w:color w:val="000000"/>
                <w:sz w:val="22"/>
                <w:szCs w:val="22"/>
              </w:rPr>
              <w:t>Σημ.</w:t>
            </w:r>
          </w:p>
        </w:tc>
        <w:tc>
          <w:tcPr>
            <w:tcW w:w="1014" w:type="pct"/>
            <w:tcBorders>
              <w:top w:val="single" w:sz="8" w:space="0" w:color="auto"/>
              <w:left w:val="nil"/>
              <w:bottom w:val="single" w:sz="8" w:space="0" w:color="auto"/>
              <w:right w:val="single" w:sz="8" w:space="0" w:color="auto"/>
            </w:tcBorders>
            <w:shd w:val="clear" w:color="auto" w:fill="auto"/>
            <w:vAlign w:val="bottom"/>
            <w:hideMark/>
          </w:tcPr>
          <w:p w:rsidR="003B577F" w:rsidRDefault="003B577F">
            <w:pPr>
              <w:jc w:val="center"/>
              <w:rPr>
                <w:b/>
                <w:bCs/>
                <w:color w:val="000000"/>
                <w:sz w:val="22"/>
                <w:szCs w:val="22"/>
              </w:rPr>
            </w:pPr>
            <w:r>
              <w:rPr>
                <w:b/>
                <w:bCs/>
                <w:color w:val="000000"/>
                <w:sz w:val="22"/>
                <w:szCs w:val="22"/>
              </w:rPr>
              <w:t>31/12/21</w:t>
            </w:r>
          </w:p>
        </w:tc>
        <w:tc>
          <w:tcPr>
            <w:tcW w:w="964" w:type="pct"/>
            <w:tcBorders>
              <w:top w:val="single" w:sz="8" w:space="0" w:color="auto"/>
              <w:left w:val="nil"/>
              <w:bottom w:val="single" w:sz="8" w:space="0" w:color="auto"/>
              <w:right w:val="single" w:sz="8" w:space="0" w:color="auto"/>
            </w:tcBorders>
            <w:shd w:val="clear" w:color="auto" w:fill="auto"/>
            <w:vAlign w:val="bottom"/>
            <w:hideMark/>
          </w:tcPr>
          <w:p w:rsidR="003B577F" w:rsidRDefault="003B577F">
            <w:pPr>
              <w:jc w:val="center"/>
              <w:rPr>
                <w:b/>
                <w:bCs/>
                <w:color w:val="000000"/>
                <w:sz w:val="22"/>
                <w:szCs w:val="22"/>
              </w:rPr>
            </w:pPr>
            <w:r>
              <w:rPr>
                <w:b/>
                <w:bCs/>
                <w:color w:val="000000"/>
                <w:sz w:val="22"/>
                <w:szCs w:val="22"/>
              </w:rPr>
              <w:t>31/12/20</w:t>
            </w:r>
          </w:p>
        </w:tc>
      </w:tr>
      <w:tr w:rsidR="003B577F" w:rsidTr="003B577F">
        <w:trPr>
          <w:trHeight w:val="288"/>
        </w:trPr>
        <w:tc>
          <w:tcPr>
            <w:tcW w:w="2641" w:type="pct"/>
            <w:tcBorders>
              <w:top w:val="nil"/>
              <w:left w:val="single" w:sz="8" w:space="0" w:color="auto"/>
              <w:bottom w:val="nil"/>
              <w:right w:val="nil"/>
            </w:tcBorders>
            <w:shd w:val="clear" w:color="auto" w:fill="auto"/>
            <w:vAlign w:val="bottom"/>
            <w:hideMark/>
          </w:tcPr>
          <w:p w:rsidR="003B577F" w:rsidRDefault="003B577F">
            <w:pPr>
              <w:rPr>
                <w:b/>
                <w:bCs/>
                <w:i/>
                <w:iCs/>
                <w:color w:val="000000"/>
                <w:sz w:val="22"/>
                <w:szCs w:val="22"/>
              </w:rPr>
            </w:pPr>
            <w:r>
              <w:rPr>
                <w:b/>
                <w:bCs/>
                <w:i/>
                <w:iCs/>
                <w:color w:val="000000"/>
                <w:sz w:val="22"/>
                <w:szCs w:val="22"/>
              </w:rPr>
              <w:t> </w:t>
            </w:r>
          </w:p>
        </w:tc>
        <w:tc>
          <w:tcPr>
            <w:tcW w:w="382" w:type="pct"/>
            <w:tcBorders>
              <w:top w:val="nil"/>
              <w:left w:val="nil"/>
              <w:bottom w:val="nil"/>
              <w:right w:val="single" w:sz="8" w:space="0" w:color="auto"/>
            </w:tcBorders>
            <w:shd w:val="clear" w:color="auto" w:fill="auto"/>
            <w:vAlign w:val="bottom"/>
            <w:hideMark/>
          </w:tcPr>
          <w:p w:rsidR="003B577F" w:rsidRDefault="003B577F">
            <w:pPr>
              <w:jc w:val="center"/>
              <w:rPr>
                <w:b/>
                <w:bCs/>
                <w:color w:val="000000"/>
                <w:sz w:val="22"/>
                <w:szCs w:val="22"/>
              </w:rPr>
            </w:pPr>
            <w:r>
              <w:rPr>
                <w:b/>
                <w:bCs/>
                <w:color w:val="000000"/>
                <w:sz w:val="22"/>
                <w:szCs w:val="22"/>
              </w:rPr>
              <w:t> </w:t>
            </w:r>
          </w:p>
        </w:tc>
        <w:tc>
          <w:tcPr>
            <w:tcW w:w="1014" w:type="pct"/>
            <w:tcBorders>
              <w:top w:val="nil"/>
              <w:left w:val="nil"/>
              <w:bottom w:val="nil"/>
              <w:right w:val="single" w:sz="8" w:space="0" w:color="auto"/>
            </w:tcBorders>
            <w:shd w:val="clear" w:color="auto" w:fill="auto"/>
            <w:vAlign w:val="bottom"/>
            <w:hideMark/>
          </w:tcPr>
          <w:p w:rsidR="003B577F" w:rsidRDefault="003B577F">
            <w:pPr>
              <w:jc w:val="center"/>
              <w:rPr>
                <w:b/>
                <w:bCs/>
                <w:color w:val="000000"/>
                <w:sz w:val="22"/>
                <w:szCs w:val="22"/>
              </w:rPr>
            </w:pPr>
            <w:r>
              <w:rPr>
                <w:b/>
                <w:bCs/>
                <w:color w:val="000000"/>
                <w:sz w:val="22"/>
                <w:szCs w:val="22"/>
              </w:rPr>
              <w:t> </w:t>
            </w:r>
          </w:p>
        </w:tc>
        <w:tc>
          <w:tcPr>
            <w:tcW w:w="964" w:type="pct"/>
            <w:tcBorders>
              <w:top w:val="nil"/>
              <w:left w:val="nil"/>
              <w:bottom w:val="nil"/>
              <w:right w:val="single" w:sz="8" w:space="0" w:color="auto"/>
            </w:tcBorders>
            <w:shd w:val="clear" w:color="auto" w:fill="auto"/>
            <w:vAlign w:val="bottom"/>
            <w:hideMark/>
          </w:tcPr>
          <w:p w:rsidR="003B577F" w:rsidRDefault="003B577F">
            <w:pPr>
              <w:jc w:val="center"/>
              <w:rPr>
                <w:b/>
                <w:bCs/>
                <w:color w:val="000000"/>
                <w:sz w:val="22"/>
                <w:szCs w:val="22"/>
              </w:rPr>
            </w:pPr>
            <w:r>
              <w:rPr>
                <w:b/>
                <w:bCs/>
                <w:color w:val="000000"/>
                <w:sz w:val="22"/>
                <w:szCs w:val="22"/>
              </w:rPr>
              <w:t> </w:t>
            </w:r>
          </w:p>
        </w:tc>
      </w:tr>
      <w:tr w:rsidR="003B577F" w:rsidTr="003B577F">
        <w:trPr>
          <w:trHeight w:val="288"/>
        </w:trPr>
        <w:tc>
          <w:tcPr>
            <w:tcW w:w="2641" w:type="pct"/>
            <w:tcBorders>
              <w:top w:val="nil"/>
              <w:left w:val="single" w:sz="8" w:space="0" w:color="auto"/>
              <w:bottom w:val="nil"/>
              <w:right w:val="nil"/>
            </w:tcBorders>
            <w:shd w:val="clear" w:color="auto" w:fill="auto"/>
            <w:vAlign w:val="bottom"/>
            <w:hideMark/>
          </w:tcPr>
          <w:p w:rsidR="003B577F" w:rsidRDefault="003B577F">
            <w:pPr>
              <w:rPr>
                <w:color w:val="000000"/>
                <w:sz w:val="22"/>
                <w:szCs w:val="22"/>
              </w:rPr>
            </w:pPr>
            <w:r>
              <w:rPr>
                <w:color w:val="000000"/>
                <w:sz w:val="22"/>
                <w:szCs w:val="22"/>
              </w:rPr>
              <w:t>Κύκλος εργασιών (καθαρός)</w:t>
            </w:r>
          </w:p>
        </w:tc>
        <w:tc>
          <w:tcPr>
            <w:tcW w:w="382" w:type="pct"/>
            <w:tcBorders>
              <w:top w:val="nil"/>
              <w:left w:val="nil"/>
              <w:bottom w:val="nil"/>
              <w:right w:val="single" w:sz="8" w:space="0" w:color="auto"/>
            </w:tcBorders>
            <w:shd w:val="clear" w:color="auto" w:fill="auto"/>
            <w:noWrap/>
            <w:vAlign w:val="bottom"/>
            <w:hideMark/>
          </w:tcPr>
          <w:p w:rsidR="003B577F" w:rsidRDefault="003B577F">
            <w:pPr>
              <w:jc w:val="center"/>
              <w:rPr>
                <w:color w:val="000000"/>
                <w:sz w:val="22"/>
                <w:szCs w:val="22"/>
              </w:rPr>
            </w:pPr>
            <w:r>
              <w:rPr>
                <w:color w:val="000000"/>
                <w:sz w:val="22"/>
                <w:szCs w:val="22"/>
              </w:rPr>
              <w:t>18</w:t>
            </w:r>
          </w:p>
        </w:tc>
        <w:tc>
          <w:tcPr>
            <w:tcW w:w="1014" w:type="pct"/>
            <w:tcBorders>
              <w:top w:val="nil"/>
              <w:left w:val="nil"/>
              <w:bottom w:val="nil"/>
              <w:right w:val="single" w:sz="8"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11.200,00</w:t>
            </w:r>
          </w:p>
        </w:tc>
        <w:tc>
          <w:tcPr>
            <w:tcW w:w="964" w:type="pct"/>
            <w:tcBorders>
              <w:top w:val="nil"/>
              <w:left w:val="nil"/>
              <w:bottom w:val="nil"/>
              <w:right w:val="single" w:sz="8"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11.200,00</w:t>
            </w:r>
          </w:p>
        </w:tc>
      </w:tr>
      <w:tr w:rsidR="003B577F" w:rsidTr="003B577F">
        <w:trPr>
          <w:trHeight w:val="288"/>
        </w:trPr>
        <w:tc>
          <w:tcPr>
            <w:tcW w:w="2641" w:type="pct"/>
            <w:tcBorders>
              <w:top w:val="nil"/>
              <w:left w:val="single" w:sz="8" w:space="0" w:color="auto"/>
              <w:bottom w:val="nil"/>
              <w:right w:val="nil"/>
            </w:tcBorders>
            <w:shd w:val="clear" w:color="auto" w:fill="auto"/>
            <w:vAlign w:val="bottom"/>
            <w:hideMark/>
          </w:tcPr>
          <w:p w:rsidR="003B577F" w:rsidRDefault="003B577F">
            <w:pPr>
              <w:rPr>
                <w:color w:val="000000"/>
                <w:sz w:val="22"/>
                <w:szCs w:val="22"/>
              </w:rPr>
            </w:pPr>
            <w:r>
              <w:rPr>
                <w:color w:val="000000"/>
                <w:sz w:val="22"/>
                <w:szCs w:val="22"/>
              </w:rPr>
              <w:t>Κόστος πωλήσεων</w:t>
            </w:r>
          </w:p>
        </w:tc>
        <w:tc>
          <w:tcPr>
            <w:tcW w:w="382" w:type="pct"/>
            <w:tcBorders>
              <w:top w:val="nil"/>
              <w:left w:val="nil"/>
              <w:bottom w:val="nil"/>
              <w:right w:val="single" w:sz="8" w:space="0" w:color="auto"/>
            </w:tcBorders>
            <w:shd w:val="clear" w:color="auto" w:fill="auto"/>
            <w:noWrap/>
            <w:vAlign w:val="bottom"/>
            <w:hideMark/>
          </w:tcPr>
          <w:p w:rsidR="003B577F" w:rsidRDefault="003B577F">
            <w:pPr>
              <w:jc w:val="center"/>
              <w:rPr>
                <w:b/>
                <w:bCs/>
                <w:color w:val="000000"/>
                <w:sz w:val="22"/>
                <w:szCs w:val="22"/>
              </w:rPr>
            </w:pPr>
            <w:r>
              <w:rPr>
                <w:b/>
                <w:bCs/>
                <w:color w:val="000000"/>
                <w:sz w:val="22"/>
                <w:szCs w:val="22"/>
              </w:rPr>
              <w:t> </w:t>
            </w:r>
          </w:p>
        </w:tc>
        <w:tc>
          <w:tcPr>
            <w:tcW w:w="1014" w:type="pct"/>
            <w:tcBorders>
              <w:top w:val="nil"/>
              <w:left w:val="nil"/>
              <w:bottom w:val="nil"/>
              <w:right w:val="single" w:sz="8"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0,00</w:t>
            </w:r>
          </w:p>
        </w:tc>
        <w:tc>
          <w:tcPr>
            <w:tcW w:w="964" w:type="pct"/>
            <w:tcBorders>
              <w:top w:val="nil"/>
              <w:left w:val="nil"/>
              <w:bottom w:val="nil"/>
              <w:right w:val="single" w:sz="8"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0,00</w:t>
            </w:r>
          </w:p>
        </w:tc>
      </w:tr>
      <w:tr w:rsidR="003B577F" w:rsidTr="003B577F">
        <w:trPr>
          <w:trHeight w:val="288"/>
        </w:trPr>
        <w:tc>
          <w:tcPr>
            <w:tcW w:w="2641" w:type="pct"/>
            <w:tcBorders>
              <w:top w:val="nil"/>
              <w:left w:val="single" w:sz="8" w:space="0" w:color="auto"/>
              <w:bottom w:val="nil"/>
              <w:right w:val="nil"/>
            </w:tcBorders>
            <w:shd w:val="clear" w:color="auto" w:fill="auto"/>
            <w:vAlign w:val="bottom"/>
            <w:hideMark/>
          </w:tcPr>
          <w:p w:rsidR="003B577F" w:rsidRDefault="003B577F">
            <w:pPr>
              <w:rPr>
                <w:b/>
                <w:bCs/>
                <w:color w:val="000000"/>
                <w:sz w:val="22"/>
                <w:szCs w:val="22"/>
              </w:rPr>
            </w:pPr>
            <w:r>
              <w:rPr>
                <w:b/>
                <w:bCs/>
                <w:color w:val="000000"/>
                <w:sz w:val="22"/>
                <w:szCs w:val="22"/>
              </w:rPr>
              <w:t>Μικτό Αποτέλεσμα</w:t>
            </w:r>
          </w:p>
        </w:tc>
        <w:tc>
          <w:tcPr>
            <w:tcW w:w="382" w:type="pct"/>
            <w:tcBorders>
              <w:top w:val="nil"/>
              <w:left w:val="nil"/>
              <w:bottom w:val="nil"/>
              <w:right w:val="single" w:sz="8" w:space="0" w:color="auto"/>
            </w:tcBorders>
            <w:shd w:val="clear" w:color="auto" w:fill="auto"/>
            <w:vAlign w:val="bottom"/>
            <w:hideMark/>
          </w:tcPr>
          <w:p w:rsidR="003B577F" w:rsidRDefault="003B577F">
            <w:pPr>
              <w:jc w:val="center"/>
              <w:rPr>
                <w:b/>
                <w:bCs/>
                <w:color w:val="000000"/>
                <w:sz w:val="22"/>
                <w:szCs w:val="22"/>
              </w:rPr>
            </w:pPr>
            <w:r>
              <w:rPr>
                <w:b/>
                <w:bCs/>
                <w:color w:val="000000"/>
                <w:sz w:val="22"/>
                <w:szCs w:val="22"/>
              </w:rPr>
              <w:t> </w:t>
            </w:r>
          </w:p>
        </w:tc>
        <w:tc>
          <w:tcPr>
            <w:tcW w:w="1014" w:type="pct"/>
            <w:tcBorders>
              <w:top w:val="single" w:sz="4" w:space="0" w:color="auto"/>
              <w:left w:val="nil"/>
              <w:bottom w:val="nil"/>
              <w:right w:val="single" w:sz="8"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11.200,00</w:t>
            </w:r>
          </w:p>
        </w:tc>
        <w:tc>
          <w:tcPr>
            <w:tcW w:w="964" w:type="pct"/>
            <w:tcBorders>
              <w:top w:val="single" w:sz="4" w:space="0" w:color="auto"/>
              <w:left w:val="nil"/>
              <w:bottom w:val="nil"/>
              <w:right w:val="single" w:sz="8"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11.200,00</w:t>
            </w:r>
          </w:p>
        </w:tc>
      </w:tr>
      <w:tr w:rsidR="003B577F" w:rsidTr="003B577F">
        <w:trPr>
          <w:trHeight w:val="288"/>
        </w:trPr>
        <w:tc>
          <w:tcPr>
            <w:tcW w:w="2641" w:type="pct"/>
            <w:tcBorders>
              <w:top w:val="nil"/>
              <w:left w:val="single" w:sz="8" w:space="0" w:color="auto"/>
              <w:bottom w:val="nil"/>
              <w:right w:val="nil"/>
            </w:tcBorders>
            <w:shd w:val="clear" w:color="auto" w:fill="auto"/>
            <w:vAlign w:val="bottom"/>
            <w:hideMark/>
          </w:tcPr>
          <w:p w:rsidR="003B577F" w:rsidRDefault="003B577F">
            <w:pPr>
              <w:rPr>
                <w:color w:val="000000"/>
                <w:sz w:val="22"/>
                <w:szCs w:val="22"/>
              </w:rPr>
            </w:pPr>
            <w:r>
              <w:rPr>
                <w:color w:val="000000"/>
                <w:sz w:val="22"/>
                <w:szCs w:val="22"/>
              </w:rPr>
              <w:t>Λοιπά συνήθη έσοδα</w:t>
            </w:r>
          </w:p>
        </w:tc>
        <w:tc>
          <w:tcPr>
            <w:tcW w:w="382" w:type="pct"/>
            <w:tcBorders>
              <w:top w:val="nil"/>
              <w:left w:val="nil"/>
              <w:bottom w:val="nil"/>
              <w:right w:val="single" w:sz="8" w:space="0" w:color="auto"/>
            </w:tcBorders>
            <w:shd w:val="clear" w:color="auto" w:fill="auto"/>
            <w:noWrap/>
            <w:vAlign w:val="bottom"/>
            <w:hideMark/>
          </w:tcPr>
          <w:p w:rsidR="003B577F" w:rsidRDefault="003B577F">
            <w:pPr>
              <w:jc w:val="center"/>
              <w:rPr>
                <w:b/>
                <w:bCs/>
                <w:color w:val="000000"/>
                <w:sz w:val="22"/>
                <w:szCs w:val="22"/>
              </w:rPr>
            </w:pPr>
            <w:r>
              <w:rPr>
                <w:b/>
                <w:bCs/>
                <w:color w:val="000000"/>
                <w:sz w:val="22"/>
                <w:szCs w:val="22"/>
              </w:rPr>
              <w:t> </w:t>
            </w:r>
          </w:p>
        </w:tc>
        <w:tc>
          <w:tcPr>
            <w:tcW w:w="1014" w:type="pct"/>
            <w:tcBorders>
              <w:top w:val="nil"/>
              <w:left w:val="nil"/>
              <w:bottom w:val="single" w:sz="4" w:space="0" w:color="auto"/>
              <w:right w:val="single" w:sz="8"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0,00</w:t>
            </w:r>
          </w:p>
        </w:tc>
        <w:tc>
          <w:tcPr>
            <w:tcW w:w="964" w:type="pct"/>
            <w:tcBorders>
              <w:top w:val="nil"/>
              <w:left w:val="nil"/>
              <w:bottom w:val="nil"/>
              <w:right w:val="single" w:sz="8"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0,00</w:t>
            </w:r>
          </w:p>
        </w:tc>
      </w:tr>
      <w:tr w:rsidR="003B577F" w:rsidTr="003B577F">
        <w:trPr>
          <w:trHeight w:val="288"/>
        </w:trPr>
        <w:tc>
          <w:tcPr>
            <w:tcW w:w="2641" w:type="pct"/>
            <w:tcBorders>
              <w:top w:val="nil"/>
              <w:left w:val="single" w:sz="8" w:space="0" w:color="auto"/>
              <w:bottom w:val="nil"/>
              <w:right w:val="nil"/>
            </w:tcBorders>
            <w:shd w:val="clear" w:color="auto" w:fill="auto"/>
            <w:vAlign w:val="bottom"/>
            <w:hideMark/>
          </w:tcPr>
          <w:p w:rsidR="003B577F" w:rsidRDefault="003B577F">
            <w:pPr>
              <w:rPr>
                <w:color w:val="000000"/>
                <w:sz w:val="22"/>
                <w:szCs w:val="22"/>
              </w:rPr>
            </w:pPr>
            <w:r>
              <w:rPr>
                <w:color w:val="000000"/>
                <w:sz w:val="22"/>
                <w:szCs w:val="22"/>
              </w:rPr>
              <w:t> </w:t>
            </w:r>
          </w:p>
        </w:tc>
        <w:tc>
          <w:tcPr>
            <w:tcW w:w="382" w:type="pct"/>
            <w:tcBorders>
              <w:top w:val="nil"/>
              <w:left w:val="nil"/>
              <w:bottom w:val="nil"/>
              <w:right w:val="single" w:sz="8" w:space="0" w:color="auto"/>
            </w:tcBorders>
            <w:shd w:val="clear" w:color="auto" w:fill="auto"/>
            <w:vAlign w:val="bottom"/>
            <w:hideMark/>
          </w:tcPr>
          <w:p w:rsidR="003B577F" w:rsidRDefault="003B577F">
            <w:pPr>
              <w:jc w:val="center"/>
              <w:rPr>
                <w:b/>
                <w:bCs/>
                <w:color w:val="000000"/>
                <w:sz w:val="22"/>
                <w:szCs w:val="22"/>
              </w:rPr>
            </w:pPr>
            <w:r>
              <w:rPr>
                <w:b/>
                <w:bCs/>
                <w:color w:val="000000"/>
                <w:sz w:val="22"/>
                <w:szCs w:val="22"/>
              </w:rPr>
              <w:t> </w:t>
            </w:r>
          </w:p>
        </w:tc>
        <w:tc>
          <w:tcPr>
            <w:tcW w:w="1014" w:type="pct"/>
            <w:tcBorders>
              <w:top w:val="nil"/>
              <w:left w:val="nil"/>
              <w:bottom w:val="nil"/>
              <w:right w:val="single" w:sz="8"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11.200,00</w:t>
            </w:r>
          </w:p>
        </w:tc>
        <w:tc>
          <w:tcPr>
            <w:tcW w:w="964" w:type="pct"/>
            <w:tcBorders>
              <w:top w:val="single" w:sz="4" w:space="0" w:color="auto"/>
              <w:left w:val="nil"/>
              <w:bottom w:val="nil"/>
              <w:right w:val="single" w:sz="8"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11.200,00</w:t>
            </w:r>
          </w:p>
        </w:tc>
      </w:tr>
      <w:tr w:rsidR="003B577F" w:rsidTr="003B577F">
        <w:trPr>
          <w:trHeight w:val="288"/>
        </w:trPr>
        <w:tc>
          <w:tcPr>
            <w:tcW w:w="2641" w:type="pct"/>
            <w:tcBorders>
              <w:top w:val="nil"/>
              <w:left w:val="single" w:sz="8" w:space="0" w:color="auto"/>
              <w:bottom w:val="nil"/>
              <w:right w:val="nil"/>
            </w:tcBorders>
            <w:shd w:val="clear" w:color="auto" w:fill="auto"/>
            <w:vAlign w:val="bottom"/>
            <w:hideMark/>
          </w:tcPr>
          <w:p w:rsidR="003B577F" w:rsidRDefault="003B577F">
            <w:pPr>
              <w:rPr>
                <w:color w:val="000000"/>
                <w:sz w:val="22"/>
                <w:szCs w:val="22"/>
              </w:rPr>
            </w:pPr>
            <w:r>
              <w:rPr>
                <w:color w:val="000000"/>
                <w:sz w:val="22"/>
                <w:szCs w:val="22"/>
              </w:rPr>
              <w:t>Έξοδα διοίκησης</w:t>
            </w:r>
          </w:p>
        </w:tc>
        <w:tc>
          <w:tcPr>
            <w:tcW w:w="382" w:type="pct"/>
            <w:tcBorders>
              <w:top w:val="nil"/>
              <w:left w:val="nil"/>
              <w:bottom w:val="nil"/>
              <w:right w:val="single" w:sz="8" w:space="0" w:color="auto"/>
            </w:tcBorders>
            <w:shd w:val="clear" w:color="auto" w:fill="auto"/>
            <w:noWrap/>
            <w:vAlign w:val="bottom"/>
            <w:hideMark/>
          </w:tcPr>
          <w:p w:rsidR="003B577F" w:rsidRDefault="003B577F">
            <w:pPr>
              <w:jc w:val="center"/>
              <w:rPr>
                <w:b/>
                <w:bCs/>
                <w:color w:val="000000"/>
                <w:sz w:val="22"/>
                <w:szCs w:val="22"/>
              </w:rPr>
            </w:pPr>
            <w:r>
              <w:rPr>
                <w:b/>
                <w:bCs/>
                <w:color w:val="000000"/>
                <w:sz w:val="22"/>
                <w:szCs w:val="22"/>
              </w:rPr>
              <w:t> </w:t>
            </w:r>
          </w:p>
        </w:tc>
        <w:tc>
          <w:tcPr>
            <w:tcW w:w="1014" w:type="pct"/>
            <w:tcBorders>
              <w:top w:val="nil"/>
              <w:left w:val="nil"/>
              <w:bottom w:val="nil"/>
              <w:right w:val="single" w:sz="8"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-12.014,80</w:t>
            </w:r>
          </w:p>
        </w:tc>
        <w:tc>
          <w:tcPr>
            <w:tcW w:w="964" w:type="pct"/>
            <w:tcBorders>
              <w:top w:val="nil"/>
              <w:left w:val="nil"/>
              <w:bottom w:val="nil"/>
              <w:right w:val="single" w:sz="8"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-11.119,74</w:t>
            </w:r>
          </w:p>
        </w:tc>
      </w:tr>
      <w:tr w:rsidR="003B577F" w:rsidTr="003B577F">
        <w:trPr>
          <w:trHeight w:val="288"/>
        </w:trPr>
        <w:tc>
          <w:tcPr>
            <w:tcW w:w="2641" w:type="pct"/>
            <w:tcBorders>
              <w:top w:val="nil"/>
              <w:left w:val="single" w:sz="8" w:space="0" w:color="auto"/>
              <w:bottom w:val="nil"/>
              <w:right w:val="nil"/>
            </w:tcBorders>
            <w:shd w:val="clear" w:color="auto" w:fill="auto"/>
            <w:vAlign w:val="bottom"/>
            <w:hideMark/>
          </w:tcPr>
          <w:p w:rsidR="003B577F" w:rsidRDefault="003B577F">
            <w:pPr>
              <w:rPr>
                <w:color w:val="000000"/>
                <w:sz w:val="22"/>
                <w:szCs w:val="22"/>
              </w:rPr>
            </w:pPr>
            <w:r>
              <w:rPr>
                <w:color w:val="000000"/>
                <w:sz w:val="22"/>
                <w:szCs w:val="22"/>
              </w:rPr>
              <w:t>Λοιπά έξοδα και ζημιές</w:t>
            </w:r>
          </w:p>
        </w:tc>
        <w:tc>
          <w:tcPr>
            <w:tcW w:w="382" w:type="pct"/>
            <w:tcBorders>
              <w:top w:val="nil"/>
              <w:left w:val="nil"/>
              <w:bottom w:val="nil"/>
              <w:right w:val="single" w:sz="8" w:space="0" w:color="auto"/>
            </w:tcBorders>
            <w:shd w:val="clear" w:color="auto" w:fill="auto"/>
            <w:noWrap/>
            <w:vAlign w:val="bottom"/>
            <w:hideMark/>
          </w:tcPr>
          <w:p w:rsidR="003B577F" w:rsidRDefault="003B577F">
            <w:pPr>
              <w:jc w:val="center"/>
              <w:rPr>
                <w:color w:val="000000"/>
                <w:sz w:val="22"/>
                <w:szCs w:val="22"/>
              </w:rPr>
            </w:pPr>
            <w:r>
              <w:rPr>
                <w:color w:val="000000"/>
                <w:sz w:val="22"/>
                <w:szCs w:val="22"/>
              </w:rPr>
              <w:t>11</w:t>
            </w:r>
          </w:p>
        </w:tc>
        <w:tc>
          <w:tcPr>
            <w:tcW w:w="1014" w:type="pct"/>
            <w:tcBorders>
              <w:top w:val="nil"/>
              <w:left w:val="nil"/>
              <w:bottom w:val="nil"/>
              <w:right w:val="single" w:sz="8"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-1.312,73</w:t>
            </w:r>
          </w:p>
        </w:tc>
        <w:tc>
          <w:tcPr>
            <w:tcW w:w="964" w:type="pct"/>
            <w:tcBorders>
              <w:top w:val="nil"/>
              <w:left w:val="nil"/>
              <w:bottom w:val="nil"/>
              <w:right w:val="single" w:sz="8"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-607,56</w:t>
            </w:r>
          </w:p>
        </w:tc>
      </w:tr>
      <w:tr w:rsidR="003B577F" w:rsidTr="003B577F">
        <w:trPr>
          <w:trHeight w:val="288"/>
        </w:trPr>
        <w:tc>
          <w:tcPr>
            <w:tcW w:w="2641" w:type="pct"/>
            <w:tcBorders>
              <w:top w:val="nil"/>
              <w:left w:val="single" w:sz="8" w:space="0" w:color="auto"/>
              <w:bottom w:val="nil"/>
              <w:right w:val="nil"/>
            </w:tcBorders>
            <w:shd w:val="clear" w:color="auto" w:fill="auto"/>
            <w:vAlign w:val="bottom"/>
            <w:hideMark/>
          </w:tcPr>
          <w:p w:rsidR="003B577F" w:rsidRDefault="003B577F">
            <w:pPr>
              <w:rPr>
                <w:color w:val="000000"/>
                <w:sz w:val="22"/>
                <w:szCs w:val="22"/>
              </w:rPr>
            </w:pPr>
            <w:r>
              <w:rPr>
                <w:color w:val="000000"/>
                <w:sz w:val="22"/>
                <w:szCs w:val="22"/>
              </w:rPr>
              <w:t>Λοιπά έσοδα και κέρδη</w:t>
            </w:r>
          </w:p>
        </w:tc>
        <w:tc>
          <w:tcPr>
            <w:tcW w:w="382" w:type="pct"/>
            <w:tcBorders>
              <w:top w:val="nil"/>
              <w:left w:val="nil"/>
              <w:bottom w:val="nil"/>
              <w:right w:val="single" w:sz="8" w:space="0" w:color="auto"/>
            </w:tcBorders>
            <w:shd w:val="clear" w:color="auto" w:fill="auto"/>
            <w:noWrap/>
            <w:vAlign w:val="bottom"/>
            <w:hideMark/>
          </w:tcPr>
          <w:p w:rsidR="003B577F" w:rsidRDefault="003B577F">
            <w:pPr>
              <w:jc w:val="center"/>
              <w:rPr>
                <w:color w:val="000000"/>
                <w:sz w:val="22"/>
                <w:szCs w:val="22"/>
              </w:rPr>
            </w:pPr>
            <w:r>
              <w:rPr>
                <w:color w:val="000000"/>
                <w:sz w:val="22"/>
                <w:szCs w:val="22"/>
              </w:rPr>
              <w:t>11</w:t>
            </w:r>
          </w:p>
        </w:tc>
        <w:tc>
          <w:tcPr>
            <w:tcW w:w="1014" w:type="pct"/>
            <w:tcBorders>
              <w:top w:val="nil"/>
              <w:left w:val="nil"/>
              <w:bottom w:val="nil"/>
              <w:right w:val="single" w:sz="8" w:space="0" w:color="auto"/>
            </w:tcBorders>
            <w:shd w:val="clear" w:color="auto" w:fill="auto"/>
            <w:noWrap/>
            <w:vAlign w:val="bottom"/>
            <w:hideMark/>
          </w:tcPr>
          <w:p w:rsidR="003B577F" w:rsidRDefault="003B577F">
            <w:pPr>
              <w:jc w:val="right"/>
              <w:rPr>
                <w:sz w:val="22"/>
                <w:szCs w:val="22"/>
              </w:rPr>
            </w:pPr>
            <w:r>
              <w:rPr>
                <w:sz w:val="22"/>
                <w:szCs w:val="22"/>
              </w:rPr>
              <w:t>804,80</w:t>
            </w:r>
          </w:p>
        </w:tc>
        <w:tc>
          <w:tcPr>
            <w:tcW w:w="964" w:type="pct"/>
            <w:tcBorders>
              <w:top w:val="nil"/>
              <w:left w:val="nil"/>
              <w:bottom w:val="nil"/>
              <w:right w:val="single" w:sz="8"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0,00</w:t>
            </w:r>
          </w:p>
        </w:tc>
      </w:tr>
      <w:tr w:rsidR="003B577F" w:rsidTr="003B577F">
        <w:trPr>
          <w:trHeight w:val="288"/>
        </w:trPr>
        <w:tc>
          <w:tcPr>
            <w:tcW w:w="2641" w:type="pct"/>
            <w:tcBorders>
              <w:top w:val="nil"/>
              <w:left w:val="single" w:sz="8" w:space="0" w:color="auto"/>
              <w:bottom w:val="nil"/>
              <w:right w:val="nil"/>
            </w:tcBorders>
            <w:shd w:val="clear" w:color="auto" w:fill="auto"/>
            <w:vAlign w:val="bottom"/>
            <w:hideMark/>
          </w:tcPr>
          <w:p w:rsidR="003B577F" w:rsidRDefault="003B577F">
            <w:pPr>
              <w:rPr>
                <w:b/>
                <w:bCs/>
                <w:color w:val="000000"/>
                <w:sz w:val="22"/>
                <w:szCs w:val="22"/>
              </w:rPr>
            </w:pPr>
            <w:r>
              <w:rPr>
                <w:b/>
                <w:bCs/>
                <w:color w:val="000000"/>
                <w:sz w:val="22"/>
                <w:szCs w:val="22"/>
              </w:rPr>
              <w:t>Αποτέλεσμα προ τόκων και φόρων</w:t>
            </w:r>
          </w:p>
        </w:tc>
        <w:tc>
          <w:tcPr>
            <w:tcW w:w="382" w:type="pct"/>
            <w:tcBorders>
              <w:top w:val="nil"/>
              <w:left w:val="nil"/>
              <w:bottom w:val="nil"/>
              <w:right w:val="single" w:sz="8" w:space="0" w:color="auto"/>
            </w:tcBorders>
            <w:shd w:val="clear" w:color="auto" w:fill="auto"/>
            <w:vAlign w:val="bottom"/>
            <w:hideMark/>
          </w:tcPr>
          <w:p w:rsidR="003B577F" w:rsidRDefault="003B577F">
            <w:pPr>
              <w:jc w:val="center"/>
              <w:rPr>
                <w:b/>
                <w:bCs/>
                <w:color w:val="000000"/>
                <w:sz w:val="22"/>
                <w:szCs w:val="22"/>
              </w:rPr>
            </w:pPr>
            <w:r>
              <w:rPr>
                <w:b/>
                <w:bCs/>
                <w:color w:val="000000"/>
                <w:sz w:val="22"/>
                <w:szCs w:val="22"/>
              </w:rPr>
              <w:t> </w:t>
            </w:r>
          </w:p>
        </w:tc>
        <w:tc>
          <w:tcPr>
            <w:tcW w:w="1014" w:type="pct"/>
            <w:tcBorders>
              <w:top w:val="single" w:sz="4" w:space="0" w:color="auto"/>
              <w:left w:val="nil"/>
              <w:bottom w:val="nil"/>
              <w:right w:val="single" w:sz="8"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-1.322,73</w:t>
            </w:r>
          </w:p>
        </w:tc>
        <w:tc>
          <w:tcPr>
            <w:tcW w:w="964" w:type="pct"/>
            <w:tcBorders>
              <w:top w:val="single" w:sz="4" w:space="0" w:color="auto"/>
              <w:left w:val="nil"/>
              <w:bottom w:val="nil"/>
              <w:right w:val="single" w:sz="8"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-527,30</w:t>
            </w:r>
          </w:p>
        </w:tc>
      </w:tr>
      <w:tr w:rsidR="003B577F" w:rsidTr="003B577F">
        <w:trPr>
          <w:trHeight w:val="288"/>
        </w:trPr>
        <w:tc>
          <w:tcPr>
            <w:tcW w:w="2641" w:type="pct"/>
            <w:tcBorders>
              <w:top w:val="nil"/>
              <w:left w:val="single" w:sz="8" w:space="0" w:color="auto"/>
              <w:bottom w:val="nil"/>
              <w:right w:val="nil"/>
            </w:tcBorders>
            <w:shd w:val="clear" w:color="auto" w:fill="auto"/>
            <w:vAlign w:val="bottom"/>
            <w:hideMark/>
          </w:tcPr>
          <w:p w:rsidR="003B577F" w:rsidRDefault="003B577F">
            <w:pPr>
              <w:rPr>
                <w:color w:val="000000"/>
                <w:sz w:val="22"/>
                <w:szCs w:val="22"/>
              </w:rPr>
            </w:pPr>
            <w:r>
              <w:rPr>
                <w:color w:val="000000"/>
                <w:sz w:val="22"/>
                <w:szCs w:val="22"/>
              </w:rPr>
              <w:t>Πιστωτικοί τόκοι και συναφή έσοδα</w:t>
            </w:r>
          </w:p>
        </w:tc>
        <w:tc>
          <w:tcPr>
            <w:tcW w:w="382" w:type="pct"/>
            <w:tcBorders>
              <w:top w:val="nil"/>
              <w:left w:val="nil"/>
              <w:bottom w:val="nil"/>
              <w:right w:val="single" w:sz="8" w:space="0" w:color="auto"/>
            </w:tcBorders>
            <w:shd w:val="clear" w:color="auto" w:fill="auto"/>
            <w:noWrap/>
            <w:vAlign w:val="bottom"/>
            <w:hideMark/>
          </w:tcPr>
          <w:p w:rsidR="003B577F" w:rsidRDefault="003B577F">
            <w:pPr>
              <w:jc w:val="center"/>
              <w:rPr>
                <w:b/>
                <w:bCs/>
                <w:color w:val="000000"/>
                <w:sz w:val="22"/>
                <w:szCs w:val="22"/>
              </w:rPr>
            </w:pPr>
            <w:r>
              <w:rPr>
                <w:b/>
                <w:bCs/>
                <w:color w:val="000000"/>
                <w:sz w:val="22"/>
                <w:szCs w:val="22"/>
              </w:rPr>
              <w:t> </w:t>
            </w:r>
          </w:p>
        </w:tc>
        <w:tc>
          <w:tcPr>
            <w:tcW w:w="1014" w:type="pct"/>
            <w:tcBorders>
              <w:top w:val="nil"/>
              <w:left w:val="nil"/>
              <w:bottom w:val="nil"/>
              <w:right w:val="single" w:sz="8"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0,28</w:t>
            </w:r>
          </w:p>
        </w:tc>
        <w:tc>
          <w:tcPr>
            <w:tcW w:w="964" w:type="pct"/>
            <w:tcBorders>
              <w:top w:val="nil"/>
              <w:left w:val="nil"/>
              <w:bottom w:val="nil"/>
              <w:right w:val="single" w:sz="8"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0,39</w:t>
            </w:r>
          </w:p>
        </w:tc>
      </w:tr>
      <w:tr w:rsidR="003B577F" w:rsidTr="003B577F">
        <w:trPr>
          <w:trHeight w:val="288"/>
        </w:trPr>
        <w:tc>
          <w:tcPr>
            <w:tcW w:w="2641" w:type="pct"/>
            <w:tcBorders>
              <w:top w:val="nil"/>
              <w:left w:val="single" w:sz="8" w:space="0" w:color="auto"/>
              <w:bottom w:val="nil"/>
              <w:right w:val="nil"/>
            </w:tcBorders>
            <w:shd w:val="clear" w:color="auto" w:fill="auto"/>
            <w:vAlign w:val="bottom"/>
            <w:hideMark/>
          </w:tcPr>
          <w:p w:rsidR="003B577F" w:rsidRDefault="003B577F">
            <w:pPr>
              <w:rPr>
                <w:color w:val="000000"/>
                <w:sz w:val="22"/>
                <w:szCs w:val="22"/>
              </w:rPr>
            </w:pPr>
            <w:r>
              <w:rPr>
                <w:color w:val="000000"/>
                <w:sz w:val="22"/>
                <w:szCs w:val="22"/>
              </w:rPr>
              <w:t>Χρεωστικοί τόκοι και συναφή έξοδα</w:t>
            </w:r>
          </w:p>
        </w:tc>
        <w:tc>
          <w:tcPr>
            <w:tcW w:w="382" w:type="pct"/>
            <w:tcBorders>
              <w:top w:val="nil"/>
              <w:left w:val="nil"/>
              <w:bottom w:val="nil"/>
              <w:right w:val="single" w:sz="8" w:space="0" w:color="auto"/>
            </w:tcBorders>
            <w:shd w:val="clear" w:color="auto" w:fill="auto"/>
            <w:noWrap/>
            <w:vAlign w:val="bottom"/>
            <w:hideMark/>
          </w:tcPr>
          <w:p w:rsidR="003B577F" w:rsidRDefault="003B577F">
            <w:pPr>
              <w:jc w:val="center"/>
              <w:rPr>
                <w:b/>
                <w:bCs/>
                <w:color w:val="000000"/>
                <w:sz w:val="22"/>
                <w:szCs w:val="22"/>
              </w:rPr>
            </w:pPr>
            <w:r>
              <w:rPr>
                <w:b/>
                <w:bCs/>
                <w:color w:val="000000"/>
                <w:sz w:val="22"/>
                <w:szCs w:val="22"/>
              </w:rPr>
              <w:t> </w:t>
            </w:r>
          </w:p>
        </w:tc>
        <w:tc>
          <w:tcPr>
            <w:tcW w:w="1014" w:type="pct"/>
            <w:tcBorders>
              <w:top w:val="nil"/>
              <w:left w:val="nil"/>
              <w:bottom w:val="nil"/>
              <w:right w:val="single" w:sz="8"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-50,00</w:t>
            </w:r>
          </w:p>
        </w:tc>
        <w:tc>
          <w:tcPr>
            <w:tcW w:w="964" w:type="pct"/>
            <w:tcBorders>
              <w:top w:val="nil"/>
              <w:left w:val="nil"/>
              <w:bottom w:val="nil"/>
              <w:right w:val="single" w:sz="8"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-63,00</w:t>
            </w:r>
          </w:p>
        </w:tc>
      </w:tr>
      <w:tr w:rsidR="003B577F" w:rsidTr="003B577F">
        <w:trPr>
          <w:trHeight w:val="288"/>
        </w:trPr>
        <w:tc>
          <w:tcPr>
            <w:tcW w:w="2641" w:type="pct"/>
            <w:tcBorders>
              <w:top w:val="nil"/>
              <w:left w:val="single" w:sz="8" w:space="0" w:color="auto"/>
              <w:bottom w:val="nil"/>
              <w:right w:val="nil"/>
            </w:tcBorders>
            <w:shd w:val="clear" w:color="auto" w:fill="auto"/>
            <w:vAlign w:val="bottom"/>
            <w:hideMark/>
          </w:tcPr>
          <w:p w:rsidR="003B577F" w:rsidRDefault="003B577F">
            <w:pPr>
              <w:rPr>
                <w:b/>
                <w:bCs/>
                <w:color w:val="000000"/>
                <w:sz w:val="22"/>
                <w:szCs w:val="22"/>
              </w:rPr>
            </w:pPr>
            <w:r>
              <w:rPr>
                <w:b/>
                <w:bCs/>
                <w:color w:val="000000"/>
                <w:sz w:val="22"/>
                <w:szCs w:val="22"/>
              </w:rPr>
              <w:t>Αποτέλεσμα προ φόρων</w:t>
            </w:r>
          </w:p>
        </w:tc>
        <w:tc>
          <w:tcPr>
            <w:tcW w:w="382" w:type="pct"/>
            <w:tcBorders>
              <w:top w:val="nil"/>
              <w:left w:val="nil"/>
              <w:bottom w:val="nil"/>
              <w:right w:val="single" w:sz="8" w:space="0" w:color="auto"/>
            </w:tcBorders>
            <w:shd w:val="clear" w:color="auto" w:fill="auto"/>
            <w:vAlign w:val="bottom"/>
            <w:hideMark/>
          </w:tcPr>
          <w:p w:rsidR="003B577F" w:rsidRDefault="003B577F">
            <w:pPr>
              <w:jc w:val="center"/>
              <w:rPr>
                <w:b/>
                <w:bCs/>
                <w:color w:val="000000"/>
                <w:sz w:val="22"/>
                <w:szCs w:val="22"/>
              </w:rPr>
            </w:pPr>
            <w:r>
              <w:rPr>
                <w:b/>
                <w:bCs/>
                <w:color w:val="000000"/>
                <w:sz w:val="22"/>
                <w:szCs w:val="22"/>
              </w:rPr>
              <w:t> </w:t>
            </w:r>
          </w:p>
        </w:tc>
        <w:tc>
          <w:tcPr>
            <w:tcW w:w="1014" w:type="pct"/>
            <w:tcBorders>
              <w:top w:val="single" w:sz="4" w:space="0" w:color="auto"/>
              <w:left w:val="nil"/>
              <w:bottom w:val="nil"/>
              <w:right w:val="single" w:sz="8"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-1.372,45</w:t>
            </w:r>
          </w:p>
        </w:tc>
        <w:tc>
          <w:tcPr>
            <w:tcW w:w="964" w:type="pct"/>
            <w:tcBorders>
              <w:top w:val="single" w:sz="4" w:space="0" w:color="auto"/>
              <w:left w:val="nil"/>
              <w:bottom w:val="nil"/>
              <w:right w:val="single" w:sz="8"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-589,91</w:t>
            </w:r>
          </w:p>
        </w:tc>
      </w:tr>
      <w:tr w:rsidR="003B577F" w:rsidTr="003B577F">
        <w:trPr>
          <w:trHeight w:val="300"/>
        </w:trPr>
        <w:tc>
          <w:tcPr>
            <w:tcW w:w="2641" w:type="pct"/>
            <w:tcBorders>
              <w:top w:val="nil"/>
              <w:left w:val="single" w:sz="8" w:space="0" w:color="auto"/>
              <w:bottom w:val="nil"/>
              <w:right w:val="nil"/>
            </w:tcBorders>
            <w:shd w:val="clear" w:color="auto" w:fill="auto"/>
            <w:vAlign w:val="bottom"/>
            <w:hideMark/>
          </w:tcPr>
          <w:p w:rsidR="003B577F" w:rsidRDefault="003B577F">
            <w:pPr>
              <w:rPr>
                <w:color w:val="000000"/>
                <w:sz w:val="22"/>
                <w:szCs w:val="22"/>
              </w:rPr>
            </w:pPr>
            <w:r>
              <w:rPr>
                <w:color w:val="000000"/>
                <w:sz w:val="22"/>
                <w:szCs w:val="22"/>
              </w:rPr>
              <w:t>Φόροι εισοδήματος</w:t>
            </w:r>
          </w:p>
        </w:tc>
        <w:tc>
          <w:tcPr>
            <w:tcW w:w="382" w:type="pct"/>
            <w:tcBorders>
              <w:top w:val="nil"/>
              <w:left w:val="nil"/>
              <w:bottom w:val="nil"/>
              <w:right w:val="single" w:sz="8" w:space="0" w:color="auto"/>
            </w:tcBorders>
            <w:shd w:val="clear" w:color="auto" w:fill="auto"/>
            <w:noWrap/>
            <w:vAlign w:val="bottom"/>
            <w:hideMark/>
          </w:tcPr>
          <w:p w:rsidR="003B577F" w:rsidRDefault="003B577F">
            <w:pPr>
              <w:jc w:val="center"/>
              <w:rPr>
                <w:b/>
                <w:bCs/>
                <w:color w:val="000000"/>
                <w:sz w:val="22"/>
                <w:szCs w:val="22"/>
              </w:rPr>
            </w:pPr>
            <w:r>
              <w:rPr>
                <w:b/>
                <w:bCs/>
                <w:color w:val="000000"/>
                <w:sz w:val="22"/>
                <w:szCs w:val="22"/>
              </w:rPr>
              <w:t> </w:t>
            </w:r>
          </w:p>
        </w:tc>
        <w:tc>
          <w:tcPr>
            <w:tcW w:w="1014" w:type="pct"/>
            <w:tcBorders>
              <w:top w:val="nil"/>
              <w:left w:val="nil"/>
              <w:bottom w:val="double" w:sz="6" w:space="0" w:color="auto"/>
              <w:right w:val="single" w:sz="8"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0,00</w:t>
            </w:r>
          </w:p>
        </w:tc>
        <w:tc>
          <w:tcPr>
            <w:tcW w:w="964" w:type="pct"/>
            <w:tcBorders>
              <w:top w:val="nil"/>
              <w:left w:val="nil"/>
              <w:bottom w:val="double" w:sz="6" w:space="0" w:color="auto"/>
              <w:right w:val="single" w:sz="8" w:space="0" w:color="auto"/>
            </w:tcBorders>
            <w:shd w:val="clear" w:color="auto" w:fill="auto"/>
            <w:noWrap/>
            <w:vAlign w:val="bottom"/>
            <w:hideMark/>
          </w:tcPr>
          <w:p w:rsidR="003B577F" w:rsidRDefault="003B577F">
            <w:pPr>
              <w:jc w:val="right"/>
              <w:rPr>
                <w:color w:val="000000"/>
                <w:sz w:val="22"/>
                <w:szCs w:val="22"/>
              </w:rPr>
            </w:pPr>
            <w:r>
              <w:rPr>
                <w:color w:val="000000"/>
                <w:sz w:val="22"/>
                <w:szCs w:val="22"/>
              </w:rPr>
              <w:t>0,00</w:t>
            </w:r>
          </w:p>
        </w:tc>
      </w:tr>
      <w:tr w:rsidR="003B577F" w:rsidTr="003B577F">
        <w:trPr>
          <w:trHeight w:val="312"/>
        </w:trPr>
        <w:tc>
          <w:tcPr>
            <w:tcW w:w="2641" w:type="pct"/>
            <w:tcBorders>
              <w:top w:val="nil"/>
              <w:left w:val="single" w:sz="8" w:space="0" w:color="auto"/>
              <w:bottom w:val="single" w:sz="8" w:space="0" w:color="auto"/>
              <w:right w:val="nil"/>
            </w:tcBorders>
            <w:shd w:val="clear" w:color="auto" w:fill="auto"/>
            <w:vAlign w:val="bottom"/>
            <w:hideMark/>
          </w:tcPr>
          <w:p w:rsidR="003B577F" w:rsidRDefault="003B577F">
            <w:pPr>
              <w:rPr>
                <w:b/>
                <w:bCs/>
                <w:color w:val="000000"/>
                <w:sz w:val="22"/>
                <w:szCs w:val="22"/>
              </w:rPr>
            </w:pPr>
            <w:r>
              <w:rPr>
                <w:b/>
                <w:bCs/>
                <w:color w:val="000000"/>
                <w:sz w:val="22"/>
                <w:szCs w:val="22"/>
              </w:rPr>
              <w:t>Αποτέλεσμα περιόδου μετά από φόρους</w:t>
            </w:r>
          </w:p>
        </w:tc>
        <w:tc>
          <w:tcPr>
            <w:tcW w:w="382" w:type="pct"/>
            <w:tcBorders>
              <w:top w:val="nil"/>
              <w:left w:val="nil"/>
              <w:bottom w:val="single" w:sz="8" w:space="0" w:color="auto"/>
              <w:right w:val="single" w:sz="8" w:space="0" w:color="auto"/>
            </w:tcBorders>
            <w:shd w:val="clear" w:color="auto" w:fill="auto"/>
            <w:vAlign w:val="bottom"/>
            <w:hideMark/>
          </w:tcPr>
          <w:p w:rsidR="003B577F" w:rsidRDefault="003B577F">
            <w:pPr>
              <w:jc w:val="center"/>
              <w:rPr>
                <w:b/>
                <w:bCs/>
                <w:color w:val="000000"/>
                <w:sz w:val="22"/>
                <w:szCs w:val="22"/>
              </w:rPr>
            </w:pPr>
            <w:r>
              <w:rPr>
                <w:b/>
                <w:bCs/>
                <w:color w:val="000000"/>
                <w:sz w:val="22"/>
                <w:szCs w:val="22"/>
              </w:rPr>
              <w:t> </w:t>
            </w:r>
          </w:p>
        </w:tc>
        <w:tc>
          <w:tcPr>
            <w:tcW w:w="1014" w:type="pct"/>
            <w:tcBorders>
              <w:top w:val="single" w:sz="4" w:space="0" w:color="auto"/>
              <w:left w:val="nil"/>
              <w:bottom w:val="double" w:sz="6" w:space="0" w:color="auto"/>
              <w:right w:val="single" w:sz="8"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-1.372,45</w:t>
            </w:r>
          </w:p>
        </w:tc>
        <w:tc>
          <w:tcPr>
            <w:tcW w:w="964" w:type="pct"/>
            <w:tcBorders>
              <w:top w:val="single" w:sz="4" w:space="0" w:color="auto"/>
              <w:left w:val="nil"/>
              <w:bottom w:val="double" w:sz="6" w:space="0" w:color="auto"/>
              <w:right w:val="single" w:sz="8"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-589,91</w:t>
            </w:r>
          </w:p>
        </w:tc>
      </w:tr>
    </w:tbl>
    <w:p w:rsidR="00370435" w:rsidRPr="00A131AE" w:rsidRDefault="00370435" w:rsidP="00442E06">
      <w:pPr>
        <w:shd w:val="clear" w:color="auto" w:fill="FFFFFF"/>
        <w:spacing w:after="200" w:line="276" w:lineRule="auto"/>
        <w:ind w:left="5" w:right="14" w:hanging="5"/>
        <w:rPr>
          <w:b/>
          <w:sz w:val="22"/>
          <w:szCs w:val="22"/>
          <w:highlight w:val="yellow"/>
        </w:rPr>
      </w:pPr>
    </w:p>
    <w:p w:rsidR="00F77FA8" w:rsidRPr="00A131AE" w:rsidRDefault="00F77FA8" w:rsidP="00B82D0D">
      <w:pPr>
        <w:shd w:val="clear" w:color="auto" w:fill="FFFFFF"/>
        <w:spacing w:after="200" w:line="276" w:lineRule="auto"/>
        <w:ind w:left="5" w:right="14" w:hanging="5"/>
        <w:jc w:val="center"/>
        <w:rPr>
          <w:b/>
          <w:sz w:val="22"/>
          <w:szCs w:val="22"/>
          <w:highlight w:val="yellow"/>
        </w:rPr>
      </w:pPr>
    </w:p>
    <w:p w:rsidR="00F77FA8" w:rsidRPr="00A131AE" w:rsidRDefault="00F77FA8" w:rsidP="00B82D0D">
      <w:pPr>
        <w:shd w:val="clear" w:color="auto" w:fill="FFFFFF"/>
        <w:spacing w:after="200" w:line="276" w:lineRule="auto"/>
        <w:ind w:left="5" w:right="14" w:hanging="5"/>
        <w:jc w:val="center"/>
        <w:rPr>
          <w:b/>
          <w:sz w:val="22"/>
          <w:szCs w:val="22"/>
          <w:highlight w:val="yellow"/>
        </w:rPr>
      </w:pPr>
    </w:p>
    <w:p w:rsidR="00F77FA8" w:rsidRPr="00A131AE" w:rsidRDefault="00F77FA8" w:rsidP="00FF3764">
      <w:pPr>
        <w:shd w:val="clear" w:color="auto" w:fill="FFFFFF"/>
        <w:spacing w:after="200" w:line="276" w:lineRule="auto"/>
        <w:ind w:right="14"/>
        <w:rPr>
          <w:b/>
          <w:sz w:val="22"/>
          <w:szCs w:val="22"/>
          <w:highlight w:val="yellow"/>
          <w:lang w:val="en-US"/>
        </w:rPr>
      </w:pPr>
    </w:p>
    <w:p w:rsidR="00F77FA8" w:rsidRPr="00A131AE" w:rsidRDefault="00F77FA8" w:rsidP="00FF3764">
      <w:pPr>
        <w:shd w:val="clear" w:color="auto" w:fill="FFFFFF"/>
        <w:spacing w:after="200" w:line="276" w:lineRule="auto"/>
        <w:ind w:right="14"/>
        <w:rPr>
          <w:b/>
          <w:sz w:val="22"/>
          <w:szCs w:val="22"/>
          <w:highlight w:val="yellow"/>
          <w:lang w:val="en-US"/>
        </w:rPr>
      </w:pPr>
    </w:p>
    <w:p w:rsidR="00F77FA8" w:rsidRPr="00A131AE" w:rsidRDefault="00F77FA8" w:rsidP="00B82D0D">
      <w:pPr>
        <w:shd w:val="clear" w:color="auto" w:fill="FFFFFF"/>
        <w:spacing w:after="200" w:line="276" w:lineRule="auto"/>
        <w:ind w:left="5" w:right="14" w:hanging="5"/>
        <w:jc w:val="center"/>
        <w:rPr>
          <w:b/>
          <w:sz w:val="22"/>
          <w:szCs w:val="22"/>
          <w:highlight w:val="yellow"/>
        </w:rPr>
        <w:sectPr w:rsidR="00F77FA8" w:rsidRPr="00A131AE" w:rsidSect="008737B6">
          <w:headerReference w:type="default" r:id="rId13"/>
          <w:footerReference w:type="default" r:id="rId14"/>
          <w:headerReference w:type="first" r:id="rId15"/>
          <w:footerReference w:type="first" r:id="rId16"/>
          <w:pgSz w:w="11906" w:h="16838" w:code="9"/>
          <w:pgMar w:top="1418" w:right="1418" w:bottom="1418" w:left="1134" w:header="709" w:footer="567" w:gutter="0"/>
          <w:cols w:space="708"/>
          <w:titlePg/>
          <w:docGrid w:linePitch="360"/>
        </w:sectPr>
      </w:pPr>
    </w:p>
    <w:p w:rsidR="00F77FA8" w:rsidRPr="00253B1B" w:rsidRDefault="00614F01" w:rsidP="004A2266">
      <w:pPr>
        <w:pStyle w:val="1"/>
        <w:jc w:val="left"/>
      </w:pPr>
      <w:bookmarkStart w:id="8" w:name="_Toc446004043"/>
      <w:bookmarkStart w:id="9" w:name="_Toc488058530"/>
      <w:bookmarkStart w:id="10" w:name="_Toc15545991"/>
      <w:r w:rsidRPr="00253B1B">
        <w:lastRenderedPageBreak/>
        <w:t>ΚΑΤΑΣΤΑΣΗ ΜΕΤΑΒΟΛΩΝ ΚΑΘΑΡΗΣ ΘΕΣ</w:t>
      </w:r>
      <w:r w:rsidR="00605AEE" w:rsidRPr="00253B1B">
        <w:t>ΕΩ</w:t>
      </w:r>
      <w:r w:rsidRPr="00253B1B">
        <w:t>Σ</w:t>
      </w:r>
      <w:r w:rsidR="00F77FA8" w:rsidRPr="00253B1B">
        <w:rPr>
          <w:color w:val="FFFFFF"/>
        </w:rPr>
        <w:t xml:space="preserve"> ς</w:t>
      </w:r>
      <w:bookmarkEnd w:id="8"/>
      <w:bookmarkEnd w:id="9"/>
      <w:bookmarkEnd w:id="10"/>
    </w:p>
    <w:p w:rsidR="00F77FA8" w:rsidRPr="00A131AE" w:rsidRDefault="00F77FA8" w:rsidP="00442E06">
      <w:pPr>
        <w:shd w:val="clear" w:color="auto" w:fill="FFFFFF"/>
        <w:spacing w:after="200" w:line="276" w:lineRule="auto"/>
        <w:ind w:left="5" w:right="14" w:hanging="5"/>
        <w:rPr>
          <w:b/>
          <w:sz w:val="22"/>
          <w:szCs w:val="22"/>
          <w:highlight w:val="yellow"/>
        </w:rPr>
      </w:pPr>
    </w:p>
    <w:p w:rsidR="00442E06" w:rsidRPr="00A131AE" w:rsidRDefault="00442E06" w:rsidP="00442E06">
      <w:pPr>
        <w:shd w:val="clear" w:color="auto" w:fill="FFFFFF"/>
        <w:spacing w:after="200" w:line="276" w:lineRule="auto"/>
        <w:ind w:right="14"/>
        <w:rPr>
          <w:b/>
          <w:sz w:val="22"/>
          <w:szCs w:val="22"/>
          <w:highlight w:val="yellow"/>
        </w:rPr>
      </w:pPr>
    </w:p>
    <w:tbl>
      <w:tblPr>
        <w:tblW w:w="5000" w:type="pct"/>
        <w:tblLook w:val="04A0" w:firstRow="1" w:lastRow="0" w:firstColumn="1" w:lastColumn="0" w:noHBand="0" w:noVBand="1"/>
      </w:tblPr>
      <w:tblGrid>
        <w:gridCol w:w="5799"/>
        <w:gridCol w:w="755"/>
        <w:gridCol w:w="1745"/>
        <w:gridCol w:w="1653"/>
        <w:gridCol w:w="2176"/>
        <w:gridCol w:w="1854"/>
      </w:tblGrid>
      <w:tr w:rsidR="003B577F" w:rsidTr="00BC1B3F">
        <w:trPr>
          <w:trHeight w:val="852"/>
        </w:trPr>
        <w:tc>
          <w:tcPr>
            <w:tcW w:w="2074" w:type="pct"/>
            <w:tcBorders>
              <w:top w:val="single" w:sz="8" w:space="0" w:color="auto"/>
              <w:left w:val="single" w:sz="8" w:space="0" w:color="auto"/>
              <w:bottom w:val="single" w:sz="8" w:space="0" w:color="auto"/>
              <w:right w:val="nil"/>
            </w:tcBorders>
            <w:shd w:val="clear" w:color="auto" w:fill="auto"/>
            <w:noWrap/>
            <w:vAlign w:val="bottom"/>
            <w:hideMark/>
          </w:tcPr>
          <w:p w:rsidR="003B577F" w:rsidRDefault="003B577F">
            <w:pPr>
              <w:rPr>
                <w:b/>
                <w:bCs/>
                <w:i/>
                <w:iCs/>
                <w:color w:val="000000"/>
                <w:sz w:val="22"/>
                <w:szCs w:val="22"/>
                <w:u w:val="single"/>
              </w:rPr>
            </w:pPr>
          </w:p>
        </w:tc>
        <w:tc>
          <w:tcPr>
            <w:tcW w:w="270" w:type="pct"/>
            <w:tcBorders>
              <w:top w:val="single" w:sz="8" w:space="0" w:color="auto"/>
              <w:left w:val="nil"/>
              <w:bottom w:val="single" w:sz="8" w:space="0" w:color="auto"/>
              <w:right w:val="single" w:sz="8" w:space="0" w:color="auto"/>
            </w:tcBorders>
            <w:shd w:val="clear" w:color="auto" w:fill="auto"/>
            <w:noWrap/>
            <w:vAlign w:val="bottom"/>
            <w:hideMark/>
          </w:tcPr>
          <w:p w:rsidR="003B577F" w:rsidRDefault="003B577F">
            <w:pPr>
              <w:jc w:val="center"/>
              <w:rPr>
                <w:b/>
                <w:bCs/>
                <w:color w:val="000000"/>
                <w:sz w:val="22"/>
                <w:szCs w:val="22"/>
              </w:rPr>
            </w:pPr>
            <w:r>
              <w:rPr>
                <w:b/>
                <w:bCs/>
                <w:color w:val="000000"/>
                <w:sz w:val="22"/>
                <w:szCs w:val="22"/>
              </w:rPr>
              <w:t>Σημ.</w:t>
            </w:r>
          </w:p>
        </w:tc>
        <w:tc>
          <w:tcPr>
            <w:tcW w:w="624" w:type="pct"/>
            <w:tcBorders>
              <w:top w:val="single" w:sz="8" w:space="0" w:color="auto"/>
              <w:left w:val="nil"/>
              <w:bottom w:val="single" w:sz="8" w:space="0" w:color="auto"/>
              <w:right w:val="single" w:sz="8" w:space="0" w:color="auto"/>
            </w:tcBorders>
            <w:shd w:val="clear" w:color="auto" w:fill="auto"/>
            <w:vAlign w:val="bottom"/>
            <w:hideMark/>
          </w:tcPr>
          <w:p w:rsidR="003B577F" w:rsidRDefault="003B577F">
            <w:pPr>
              <w:jc w:val="center"/>
              <w:rPr>
                <w:b/>
                <w:bCs/>
                <w:color w:val="000000"/>
                <w:sz w:val="22"/>
                <w:szCs w:val="22"/>
              </w:rPr>
            </w:pPr>
            <w:r>
              <w:rPr>
                <w:b/>
                <w:bCs/>
                <w:color w:val="000000"/>
                <w:sz w:val="22"/>
                <w:szCs w:val="22"/>
              </w:rPr>
              <w:t>Κεφάλαιο</w:t>
            </w:r>
          </w:p>
        </w:tc>
        <w:tc>
          <w:tcPr>
            <w:tcW w:w="591" w:type="pct"/>
            <w:tcBorders>
              <w:top w:val="single" w:sz="8" w:space="0" w:color="auto"/>
              <w:left w:val="nil"/>
              <w:bottom w:val="single" w:sz="8" w:space="0" w:color="auto"/>
              <w:right w:val="single" w:sz="8" w:space="0" w:color="auto"/>
            </w:tcBorders>
            <w:shd w:val="clear" w:color="auto" w:fill="auto"/>
            <w:vAlign w:val="bottom"/>
            <w:hideMark/>
          </w:tcPr>
          <w:p w:rsidR="003B577F" w:rsidRDefault="00BC1B3F">
            <w:pPr>
              <w:jc w:val="center"/>
              <w:rPr>
                <w:b/>
                <w:bCs/>
                <w:color w:val="000000"/>
                <w:sz w:val="22"/>
                <w:szCs w:val="22"/>
              </w:rPr>
            </w:pPr>
            <w:r>
              <w:rPr>
                <w:b/>
                <w:bCs/>
                <w:color w:val="000000"/>
                <w:sz w:val="22"/>
                <w:szCs w:val="22"/>
              </w:rPr>
              <w:t>Υπέρ το Άρτιο</w:t>
            </w:r>
          </w:p>
        </w:tc>
        <w:tc>
          <w:tcPr>
            <w:tcW w:w="778" w:type="pct"/>
            <w:tcBorders>
              <w:top w:val="single" w:sz="8" w:space="0" w:color="auto"/>
              <w:left w:val="nil"/>
              <w:bottom w:val="single" w:sz="8" w:space="0" w:color="auto"/>
              <w:right w:val="single" w:sz="8" w:space="0" w:color="auto"/>
            </w:tcBorders>
            <w:shd w:val="clear" w:color="auto" w:fill="auto"/>
            <w:vAlign w:val="bottom"/>
            <w:hideMark/>
          </w:tcPr>
          <w:p w:rsidR="003B577F" w:rsidRDefault="003B577F">
            <w:pPr>
              <w:jc w:val="center"/>
              <w:rPr>
                <w:b/>
                <w:bCs/>
                <w:color w:val="000000"/>
                <w:sz w:val="22"/>
                <w:szCs w:val="22"/>
              </w:rPr>
            </w:pPr>
            <w:r>
              <w:rPr>
                <w:b/>
                <w:bCs/>
                <w:color w:val="000000"/>
                <w:sz w:val="22"/>
                <w:szCs w:val="22"/>
              </w:rPr>
              <w:t>Υπόλοιπο Αποτελεσμάτων Εις Νέο</w:t>
            </w:r>
          </w:p>
        </w:tc>
        <w:tc>
          <w:tcPr>
            <w:tcW w:w="663" w:type="pct"/>
            <w:tcBorders>
              <w:top w:val="single" w:sz="8" w:space="0" w:color="auto"/>
              <w:left w:val="nil"/>
              <w:bottom w:val="single" w:sz="8" w:space="0" w:color="auto"/>
              <w:right w:val="single" w:sz="8" w:space="0" w:color="auto"/>
            </w:tcBorders>
            <w:shd w:val="clear" w:color="auto" w:fill="auto"/>
            <w:vAlign w:val="bottom"/>
            <w:hideMark/>
          </w:tcPr>
          <w:p w:rsidR="003B577F" w:rsidRDefault="003B577F">
            <w:pPr>
              <w:jc w:val="center"/>
              <w:rPr>
                <w:b/>
                <w:bCs/>
                <w:color w:val="000000"/>
                <w:sz w:val="22"/>
                <w:szCs w:val="22"/>
              </w:rPr>
            </w:pPr>
            <w:r>
              <w:rPr>
                <w:b/>
                <w:bCs/>
                <w:color w:val="000000"/>
                <w:sz w:val="22"/>
                <w:szCs w:val="22"/>
              </w:rPr>
              <w:t>Συνολικά ίδια κεφάλαια</w:t>
            </w:r>
          </w:p>
        </w:tc>
      </w:tr>
      <w:tr w:rsidR="003B577F" w:rsidTr="00BC1B3F">
        <w:trPr>
          <w:trHeight w:val="288"/>
        </w:trPr>
        <w:tc>
          <w:tcPr>
            <w:tcW w:w="2074" w:type="pct"/>
            <w:tcBorders>
              <w:top w:val="nil"/>
              <w:left w:val="single" w:sz="8" w:space="0" w:color="auto"/>
              <w:bottom w:val="nil"/>
              <w:right w:val="nil"/>
            </w:tcBorders>
            <w:shd w:val="clear" w:color="auto" w:fill="auto"/>
            <w:vAlign w:val="bottom"/>
            <w:hideMark/>
          </w:tcPr>
          <w:p w:rsidR="003B577F" w:rsidRDefault="003B577F">
            <w:pPr>
              <w:rPr>
                <w:b/>
                <w:bCs/>
                <w:color w:val="000000"/>
                <w:sz w:val="22"/>
                <w:szCs w:val="22"/>
              </w:rPr>
            </w:pPr>
            <w:r>
              <w:rPr>
                <w:b/>
                <w:bCs/>
                <w:color w:val="000000"/>
                <w:sz w:val="22"/>
                <w:szCs w:val="22"/>
              </w:rPr>
              <w:t>Υπόλοιπο Ιδίων Κεφαλαίων 1/1/2020</w:t>
            </w:r>
          </w:p>
        </w:tc>
        <w:tc>
          <w:tcPr>
            <w:tcW w:w="270" w:type="pct"/>
            <w:tcBorders>
              <w:top w:val="nil"/>
              <w:left w:val="nil"/>
              <w:bottom w:val="nil"/>
              <w:right w:val="single" w:sz="8" w:space="0" w:color="auto"/>
            </w:tcBorders>
            <w:shd w:val="clear" w:color="auto" w:fill="auto"/>
            <w:vAlign w:val="bottom"/>
            <w:hideMark/>
          </w:tcPr>
          <w:p w:rsidR="003B577F" w:rsidRDefault="003B577F">
            <w:pPr>
              <w:rPr>
                <w:b/>
                <w:bCs/>
                <w:color w:val="000000"/>
                <w:sz w:val="22"/>
                <w:szCs w:val="22"/>
              </w:rPr>
            </w:pPr>
            <w:r>
              <w:rPr>
                <w:b/>
                <w:bCs/>
                <w:color w:val="000000"/>
                <w:sz w:val="22"/>
                <w:szCs w:val="22"/>
              </w:rPr>
              <w:t> </w:t>
            </w:r>
          </w:p>
        </w:tc>
        <w:tc>
          <w:tcPr>
            <w:tcW w:w="624" w:type="pct"/>
            <w:tcBorders>
              <w:top w:val="nil"/>
              <w:left w:val="nil"/>
              <w:bottom w:val="double" w:sz="6" w:space="0" w:color="auto"/>
              <w:right w:val="single" w:sz="8" w:space="0" w:color="auto"/>
            </w:tcBorders>
            <w:shd w:val="clear" w:color="auto" w:fill="auto"/>
            <w:vAlign w:val="bottom"/>
            <w:hideMark/>
          </w:tcPr>
          <w:p w:rsidR="003B577F" w:rsidRDefault="003B577F">
            <w:pPr>
              <w:jc w:val="right"/>
              <w:rPr>
                <w:b/>
                <w:bCs/>
                <w:color w:val="000000"/>
                <w:sz w:val="22"/>
                <w:szCs w:val="22"/>
              </w:rPr>
            </w:pPr>
            <w:r>
              <w:rPr>
                <w:b/>
                <w:bCs/>
                <w:color w:val="000000"/>
                <w:sz w:val="22"/>
                <w:szCs w:val="22"/>
              </w:rPr>
              <w:t>1.005.500,00</w:t>
            </w:r>
          </w:p>
        </w:tc>
        <w:tc>
          <w:tcPr>
            <w:tcW w:w="591" w:type="pct"/>
            <w:tcBorders>
              <w:top w:val="nil"/>
              <w:left w:val="nil"/>
              <w:bottom w:val="double" w:sz="6" w:space="0" w:color="auto"/>
              <w:right w:val="single" w:sz="8" w:space="0" w:color="auto"/>
            </w:tcBorders>
            <w:shd w:val="clear" w:color="auto" w:fill="auto"/>
            <w:vAlign w:val="bottom"/>
            <w:hideMark/>
          </w:tcPr>
          <w:p w:rsidR="003B577F" w:rsidRDefault="003B577F">
            <w:pPr>
              <w:jc w:val="right"/>
              <w:rPr>
                <w:b/>
                <w:bCs/>
                <w:color w:val="000000"/>
                <w:sz w:val="22"/>
                <w:szCs w:val="22"/>
              </w:rPr>
            </w:pPr>
            <w:r>
              <w:rPr>
                <w:b/>
                <w:bCs/>
                <w:color w:val="000000"/>
                <w:sz w:val="22"/>
                <w:szCs w:val="22"/>
              </w:rPr>
              <w:t>1.336.500,00</w:t>
            </w:r>
          </w:p>
        </w:tc>
        <w:tc>
          <w:tcPr>
            <w:tcW w:w="778" w:type="pct"/>
            <w:tcBorders>
              <w:top w:val="nil"/>
              <w:left w:val="nil"/>
              <w:bottom w:val="double" w:sz="6" w:space="0" w:color="auto"/>
              <w:right w:val="single" w:sz="8" w:space="0" w:color="auto"/>
            </w:tcBorders>
            <w:shd w:val="clear" w:color="auto" w:fill="auto"/>
            <w:vAlign w:val="bottom"/>
            <w:hideMark/>
          </w:tcPr>
          <w:p w:rsidR="003B577F" w:rsidRDefault="003B577F">
            <w:pPr>
              <w:jc w:val="right"/>
              <w:rPr>
                <w:b/>
                <w:bCs/>
                <w:color w:val="000000"/>
                <w:sz w:val="22"/>
                <w:szCs w:val="22"/>
              </w:rPr>
            </w:pPr>
            <w:r>
              <w:rPr>
                <w:b/>
                <w:bCs/>
                <w:color w:val="000000"/>
                <w:sz w:val="22"/>
                <w:szCs w:val="22"/>
              </w:rPr>
              <w:t>-2.830.380,35</w:t>
            </w:r>
          </w:p>
        </w:tc>
        <w:tc>
          <w:tcPr>
            <w:tcW w:w="663" w:type="pct"/>
            <w:tcBorders>
              <w:top w:val="nil"/>
              <w:left w:val="nil"/>
              <w:bottom w:val="double" w:sz="6" w:space="0" w:color="auto"/>
              <w:right w:val="single" w:sz="8" w:space="0" w:color="auto"/>
            </w:tcBorders>
            <w:shd w:val="clear" w:color="auto" w:fill="auto"/>
            <w:vAlign w:val="bottom"/>
            <w:hideMark/>
          </w:tcPr>
          <w:p w:rsidR="003B577F" w:rsidRDefault="003B577F">
            <w:pPr>
              <w:jc w:val="right"/>
              <w:rPr>
                <w:b/>
                <w:bCs/>
                <w:color w:val="000000"/>
                <w:sz w:val="22"/>
                <w:szCs w:val="22"/>
              </w:rPr>
            </w:pPr>
            <w:r>
              <w:rPr>
                <w:b/>
                <w:bCs/>
                <w:color w:val="000000"/>
                <w:sz w:val="22"/>
                <w:szCs w:val="22"/>
              </w:rPr>
              <w:t>-488.380,35</w:t>
            </w:r>
          </w:p>
        </w:tc>
      </w:tr>
      <w:tr w:rsidR="003B577F" w:rsidTr="00BC1B3F">
        <w:trPr>
          <w:trHeight w:val="351"/>
        </w:trPr>
        <w:tc>
          <w:tcPr>
            <w:tcW w:w="2074" w:type="pct"/>
            <w:tcBorders>
              <w:top w:val="nil"/>
              <w:left w:val="single" w:sz="8" w:space="0" w:color="auto"/>
              <w:bottom w:val="nil"/>
              <w:right w:val="nil"/>
            </w:tcBorders>
            <w:shd w:val="clear" w:color="auto" w:fill="auto"/>
            <w:vAlign w:val="bottom"/>
            <w:hideMark/>
          </w:tcPr>
          <w:p w:rsidR="003B577F" w:rsidRDefault="003B577F">
            <w:pPr>
              <w:rPr>
                <w:color w:val="000000"/>
                <w:sz w:val="22"/>
                <w:szCs w:val="22"/>
              </w:rPr>
            </w:pPr>
            <w:r>
              <w:rPr>
                <w:color w:val="000000"/>
                <w:sz w:val="22"/>
                <w:szCs w:val="22"/>
              </w:rPr>
              <w:t>Αποτελέσματα περιόδου</w:t>
            </w:r>
          </w:p>
        </w:tc>
        <w:tc>
          <w:tcPr>
            <w:tcW w:w="270" w:type="pct"/>
            <w:tcBorders>
              <w:top w:val="nil"/>
              <w:left w:val="nil"/>
              <w:bottom w:val="nil"/>
              <w:right w:val="single" w:sz="8" w:space="0" w:color="auto"/>
            </w:tcBorders>
            <w:shd w:val="clear" w:color="auto" w:fill="auto"/>
            <w:noWrap/>
            <w:vAlign w:val="bottom"/>
            <w:hideMark/>
          </w:tcPr>
          <w:p w:rsidR="003B577F" w:rsidRDefault="003B577F">
            <w:pPr>
              <w:jc w:val="center"/>
              <w:rPr>
                <w:color w:val="000000"/>
                <w:sz w:val="22"/>
                <w:szCs w:val="22"/>
              </w:rPr>
            </w:pPr>
            <w:r>
              <w:rPr>
                <w:color w:val="000000"/>
                <w:sz w:val="22"/>
                <w:szCs w:val="22"/>
              </w:rPr>
              <w:t> </w:t>
            </w:r>
          </w:p>
        </w:tc>
        <w:tc>
          <w:tcPr>
            <w:tcW w:w="624" w:type="pct"/>
            <w:tcBorders>
              <w:top w:val="nil"/>
              <w:left w:val="nil"/>
              <w:bottom w:val="nil"/>
              <w:right w:val="single" w:sz="8" w:space="0" w:color="auto"/>
            </w:tcBorders>
            <w:shd w:val="clear" w:color="auto" w:fill="auto"/>
            <w:vAlign w:val="bottom"/>
            <w:hideMark/>
          </w:tcPr>
          <w:p w:rsidR="003B577F" w:rsidRDefault="003B577F">
            <w:pPr>
              <w:jc w:val="right"/>
              <w:rPr>
                <w:color w:val="000000"/>
                <w:sz w:val="22"/>
                <w:szCs w:val="22"/>
              </w:rPr>
            </w:pPr>
            <w:r>
              <w:rPr>
                <w:color w:val="000000"/>
                <w:sz w:val="22"/>
                <w:szCs w:val="22"/>
              </w:rPr>
              <w:t> </w:t>
            </w:r>
          </w:p>
        </w:tc>
        <w:tc>
          <w:tcPr>
            <w:tcW w:w="591" w:type="pct"/>
            <w:tcBorders>
              <w:top w:val="nil"/>
              <w:left w:val="nil"/>
              <w:bottom w:val="nil"/>
              <w:right w:val="single" w:sz="8" w:space="0" w:color="auto"/>
            </w:tcBorders>
            <w:shd w:val="clear" w:color="auto" w:fill="auto"/>
            <w:vAlign w:val="bottom"/>
            <w:hideMark/>
          </w:tcPr>
          <w:p w:rsidR="003B577F" w:rsidRDefault="003B577F">
            <w:pPr>
              <w:jc w:val="right"/>
              <w:rPr>
                <w:color w:val="000000"/>
                <w:sz w:val="22"/>
                <w:szCs w:val="22"/>
              </w:rPr>
            </w:pPr>
            <w:r>
              <w:rPr>
                <w:color w:val="000000"/>
                <w:sz w:val="22"/>
                <w:szCs w:val="22"/>
              </w:rPr>
              <w:t> </w:t>
            </w:r>
          </w:p>
        </w:tc>
        <w:tc>
          <w:tcPr>
            <w:tcW w:w="778" w:type="pct"/>
            <w:tcBorders>
              <w:top w:val="nil"/>
              <w:left w:val="nil"/>
              <w:bottom w:val="nil"/>
              <w:right w:val="single" w:sz="8" w:space="0" w:color="auto"/>
            </w:tcBorders>
            <w:shd w:val="clear" w:color="auto" w:fill="auto"/>
            <w:vAlign w:val="bottom"/>
            <w:hideMark/>
          </w:tcPr>
          <w:p w:rsidR="003B577F" w:rsidRDefault="003B577F">
            <w:pPr>
              <w:jc w:val="right"/>
              <w:rPr>
                <w:color w:val="000000"/>
                <w:sz w:val="22"/>
                <w:szCs w:val="22"/>
              </w:rPr>
            </w:pPr>
            <w:r>
              <w:rPr>
                <w:color w:val="000000"/>
                <w:sz w:val="22"/>
                <w:szCs w:val="22"/>
              </w:rPr>
              <w:t>-589,91</w:t>
            </w:r>
          </w:p>
        </w:tc>
        <w:tc>
          <w:tcPr>
            <w:tcW w:w="663" w:type="pct"/>
            <w:tcBorders>
              <w:top w:val="nil"/>
              <w:left w:val="nil"/>
              <w:bottom w:val="nil"/>
              <w:right w:val="single" w:sz="8" w:space="0" w:color="auto"/>
            </w:tcBorders>
            <w:shd w:val="clear" w:color="auto" w:fill="auto"/>
            <w:vAlign w:val="bottom"/>
            <w:hideMark/>
          </w:tcPr>
          <w:p w:rsidR="003B577F" w:rsidRDefault="003B577F">
            <w:pPr>
              <w:jc w:val="right"/>
              <w:rPr>
                <w:b/>
                <w:bCs/>
                <w:color w:val="000000"/>
                <w:sz w:val="22"/>
                <w:szCs w:val="22"/>
              </w:rPr>
            </w:pPr>
            <w:r>
              <w:rPr>
                <w:b/>
                <w:bCs/>
                <w:color w:val="000000"/>
                <w:sz w:val="22"/>
                <w:szCs w:val="22"/>
              </w:rPr>
              <w:t>-589,91</w:t>
            </w:r>
          </w:p>
        </w:tc>
      </w:tr>
      <w:tr w:rsidR="003B577F" w:rsidTr="00BC1B3F">
        <w:trPr>
          <w:trHeight w:val="407"/>
        </w:trPr>
        <w:tc>
          <w:tcPr>
            <w:tcW w:w="2074" w:type="pct"/>
            <w:tcBorders>
              <w:top w:val="single" w:sz="4" w:space="0" w:color="auto"/>
              <w:left w:val="single" w:sz="8" w:space="0" w:color="auto"/>
              <w:bottom w:val="single" w:sz="8" w:space="0" w:color="auto"/>
              <w:right w:val="nil"/>
            </w:tcBorders>
            <w:shd w:val="clear" w:color="auto" w:fill="auto"/>
            <w:noWrap/>
            <w:vAlign w:val="bottom"/>
            <w:hideMark/>
          </w:tcPr>
          <w:p w:rsidR="003B577F" w:rsidRDefault="003B577F">
            <w:pPr>
              <w:rPr>
                <w:b/>
                <w:bCs/>
                <w:color w:val="000000"/>
                <w:sz w:val="22"/>
                <w:szCs w:val="22"/>
              </w:rPr>
            </w:pPr>
            <w:r>
              <w:rPr>
                <w:b/>
                <w:bCs/>
                <w:color w:val="000000"/>
                <w:sz w:val="22"/>
                <w:szCs w:val="22"/>
              </w:rPr>
              <w:t>Υπόλοιπο Ιδίων Κεφαλαίων 31/12/2020</w:t>
            </w:r>
          </w:p>
        </w:tc>
        <w:tc>
          <w:tcPr>
            <w:tcW w:w="270" w:type="pct"/>
            <w:tcBorders>
              <w:top w:val="single" w:sz="4" w:space="0" w:color="auto"/>
              <w:left w:val="nil"/>
              <w:bottom w:val="single" w:sz="8" w:space="0" w:color="auto"/>
              <w:right w:val="single" w:sz="8" w:space="0" w:color="auto"/>
            </w:tcBorders>
            <w:shd w:val="clear" w:color="auto" w:fill="auto"/>
            <w:noWrap/>
            <w:vAlign w:val="bottom"/>
            <w:hideMark/>
          </w:tcPr>
          <w:p w:rsidR="003B577F" w:rsidRDefault="003B577F">
            <w:pPr>
              <w:rPr>
                <w:b/>
                <w:bCs/>
                <w:color w:val="000000"/>
                <w:sz w:val="22"/>
                <w:szCs w:val="22"/>
              </w:rPr>
            </w:pPr>
            <w:r>
              <w:rPr>
                <w:b/>
                <w:bCs/>
                <w:color w:val="000000"/>
                <w:sz w:val="22"/>
                <w:szCs w:val="22"/>
              </w:rPr>
              <w:t> </w:t>
            </w:r>
          </w:p>
        </w:tc>
        <w:tc>
          <w:tcPr>
            <w:tcW w:w="624" w:type="pct"/>
            <w:tcBorders>
              <w:top w:val="single" w:sz="4" w:space="0" w:color="auto"/>
              <w:left w:val="nil"/>
              <w:bottom w:val="single" w:sz="8" w:space="0" w:color="auto"/>
              <w:right w:val="single" w:sz="8"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1.005.500,00</w:t>
            </w:r>
          </w:p>
        </w:tc>
        <w:tc>
          <w:tcPr>
            <w:tcW w:w="591" w:type="pct"/>
            <w:tcBorders>
              <w:top w:val="single" w:sz="4" w:space="0" w:color="auto"/>
              <w:left w:val="nil"/>
              <w:bottom w:val="single" w:sz="8" w:space="0" w:color="auto"/>
              <w:right w:val="single" w:sz="8"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1.336.500,00</w:t>
            </w:r>
          </w:p>
        </w:tc>
        <w:tc>
          <w:tcPr>
            <w:tcW w:w="778" w:type="pct"/>
            <w:tcBorders>
              <w:top w:val="single" w:sz="4" w:space="0" w:color="auto"/>
              <w:left w:val="nil"/>
              <w:bottom w:val="single" w:sz="8" w:space="0" w:color="auto"/>
              <w:right w:val="single" w:sz="8"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-2.830.970,26</w:t>
            </w:r>
          </w:p>
        </w:tc>
        <w:tc>
          <w:tcPr>
            <w:tcW w:w="663" w:type="pct"/>
            <w:tcBorders>
              <w:top w:val="single" w:sz="4" w:space="0" w:color="auto"/>
              <w:left w:val="nil"/>
              <w:bottom w:val="single" w:sz="8" w:space="0" w:color="auto"/>
              <w:right w:val="single" w:sz="8"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-488.970,26</w:t>
            </w:r>
          </w:p>
        </w:tc>
      </w:tr>
      <w:tr w:rsidR="003B577F" w:rsidTr="00BC1B3F">
        <w:trPr>
          <w:trHeight w:val="417"/>
        </w:trPr>
        <w:tc>
          <w:tcPr>
            <w:tcW w:w="2074" w:type="pct"/>
            <w:tcBorders>
              <w:top w:val="nil"/>
              <w:left w:val="single" w:sz="8" w:space="0" w:color="auto"/>
              <w:bottom w:val="nil"/>
              <w:right w:val="nil"/>
            </w:tcBorders>
            <w:shd w:val="clear" w:color="auto" w:fill="auto"/>
            <w:vAlign w:val="bottom"/>
            <w:hideMark/>
          </w:tcPr>
          <w:p w:rsidR="003B577F" w:rsidRDefault="003B577F">
            <w:pPr>
              <w:rPr>
                <w:color w:val="000000"/>
                <w:sz w:val="22"/>
                <w:szCs w:val="22"/>
              </w:rPr>
            </w:pPr>
            <w:r>
              <w:rPr>
                <w:color w:val="000000"/>
                <w:sz w:val="22"/>
                <w:szCs w:val="22"/>
              </w:rPr>
              <w:t>Αποτελέσματα περιόδου</w:t>
            </w:r>
          </w:p>
        </w:tc>
        <w:tc>
          <w:tcPr>
            <w:tcW w:w="270" w:type="pct"/>
            <w:tcBorders>
              <w:top w:val="nil"/>
              <w:left w:val="nil"/>
              <w:bottom w:val="nil"/>
              <w:right w:val="single" w:sz="8" w:space="0" w:color="auto"/>
            </w:tcBorders>
            <w:shd w:val="clear" w:color="auto" w:fill="auto"/>
            <w:noWrap/>
            <w:vAlign w:val="bottom"/>
            <w:hideMark/>
          </w:tcPr>
          <w:p w:rsidR="003B577F" w:rsidRDefault="003B577F">
            <w:pPr>
              <w:jc w:val="center"/>
              <w:rPr>
                <w:color w:val="000000"/>
                <w:sz w:val="22"/>
                <w:szCs w:val="22"/>
              </w:rPr>
            </w:pPr>
            <w:r>
              <w:rPr>
                <w:color w:val="000000"/>
                <w:sz w:val="22"/>
                <w:szCs w:val="22"/>
              </w:rPr>
              <w:t> </w:t>
            </w:r>
          </w:p>
        </w:tc>
        <w:tc>
          <w:tcPr>
            <w:tcW w:w="624" w:type="pct"/>
            <w:tcBorders>
              <w:top w:val="nil"/>
              <w:left w:val="nil"/>
              <w:bottom w:val="nil"/>
              <w:right w:val="single" w:sz="8" w:space="0" w:color="auto"/>
            </w:tcBorders>
            <w:shd w:val="clear" w:color="auto" w:fill="auto"/>
            <w:vAlign w:val="bottom"/>
            <w:hideMark/>
          </w:tcPr>
          <w:p w:rsidR="003B577F" w:rsidRDefault="003B577F">
            <w:pPr>
              <w:jc w:val="right"/>
              <w:rPr>
                <w:color w:val="000000"/>
                <w:sz w:val="22"/>
                <w:szCs w:val="22"/>
              </w:rPr>
            </w:pPr>
            <w:r>
              <w:rPr>
                <w:color w:val="000000"/>
                <w:sz w:val="22"/>
                <w:szCs w:val="22"/>
              </w:rPr>
              <w:t> </w:t>
            </w:r>
          </w:p>
        </w:tc>
        <w:tc>
          <w:tcPr>
            <w:tcW w:w="591" w:type="pct"/>
            <w:tcBorders>
              <w:top w:val="nil"/>
              <w:left w:val="nil"/>
              <w:bottom w:val="nil"/>
              <w:right w:val="single" w:sz="8" w:space="0" w:color="auto"/>
            </w:tcBorders>
            <w:shd w:val="clear" w:color="auto" w:fill="auto"/>
            <w:vAlign w:val="bottom"/>
            <w:hideMark/>
          </w:tcPr>
          <w:p w:rsidR="003B577F" w:rsidRDefault="003B577F">
            <w:pPr>
              <w:jc w:val="right"/>
              <w:rPr>
                <w:color w:val="000000"/>
                <w:sz w:val="22"/>
                <w:szCs w:val="22"/>
              </w:rPr>
            </w:pPr>
            <w:r>
              <w:rPr>
                <w:color w:val="000000"/>
                <w:sz w:val="22"/>
                <w:szCs w:val="22"/>
              </w:rPr>
              <w:t> </w:t>
            </w:r>
          </w:p>
        </w:tc>
        <w:tc>
          <w:tcPr>
            <w:tcW w:w="778" w:type="pct"/>
            <w:tcBorders>
              <w:top w:val="nil"/>
              <w:left w:val="nil"/>
              <w:bottom w:val="nil"/>
              <w:right w:val="single" w:sz="8" w:space="0" w:color="auto"/>
            </w:tcBorders>
            <w:shd w:val="clear" w:color="auto" w:fill="auto"/>
            <w:vAlign w:val="bottom"/>
            <w:hideMark/>
          </w:tcPr>
          <w:p w:rsidR="003B577F" w:rsidRDefault="003B577F">
            <w:pPr>
              <w:jc w:val="right"/>
              <w:rPr>
                <w:color w:val="000000"/>
                <w:sz w:val="22"/>
                <w:szCs w:val="22"/>
              </w:rPr>
            </w:pPr>
            <w:r>
              <w:rPr>
                <w:color w:val="000000"/>
                <w:sz w:val="22"/>
                <w:szCs w:val="22"/>
              </w:rPr>
              <w:t>-1.372,45</w:t>
            </w:r>
          </w:p>
        </w:tc>
        <w:tc>
          <w:tcPr>
            <w:tcW w:w="663" w:type="pct"/>
            <w:tcBorders>
              <w:top w:val="nil"/>
              <w:left w:val="nil"/>
              <w:bottom w:val="nil"/>
              <w:right w:val="single" w:sz="8" w:space="0" w:color="auto"/>
            </w:tcBorders>
            <w:shd w:val="clear" w:color="auto" w:fill="auto"/>
            <w:vAlign w:val="bottom"/>
            <w:hideMark/>
          </w:tcPr>
          <w:p w:rsidR="003B577F" w:rsidRDefault="003B577F">
            <w:pPr>
              <w:jc w:val="right"/>
              <w:rPr>
                <w:b/>
                <w:bCs/>
                <w:color w:val="000000"/>
                <w:sz w:val="22"/>
                <w:szCs w:val="22"/>
              </w:rPr>
            </w:pPr>
            <w:r>
              <w:rPr>
                <w:b/>
                <w:bCs/>
                <w:color w:val="000000"/>
                <w:sz w:val="22"/>
                <w:szCs w:val="22"/>
              </w:rPr>
              <w:t>-1.372,45</w:t>
            </w:r>
          </w:p>
        </w:tc>
      </w:tr>
      <w:tr w:rsidR="003B577F" w:rsidTr="00BC1B3F">
        <w:trPr>
          <w:trHeight w:val="419"/>
        </w:trPr>
        <w:tc>
          <w:tcPr>
            <w:tcW w:w="2074" w:type="pct"/>
            <w:tcBorders>
              <w:top w:val="single" w:sz="4" w:space="0" w:color="auto"/>
              <w:left w:val="single" w:sz="8" w:space="0" w:color="auto"/>
              <w:bottom w:val="single" w:sz="8" w:space="0" w:color="auto"/>
              <w:right w:val="nil"/>
            </w:tcBorders>
            <w:shd w:val="clear" w:color="auto" w:fill="auto"/>
            <w:noWrap/>
            <w:vAlign w:val="bottom"/>
            <w:hideMark/>
          </w:tcPr>
          <w:p w:rsidR="003B577F" w:rsidRDefault="003B577F">
            <w:pPr>
              <w:rPr>
                <w:b/>
                <w:bCs/>
                <w:color w:val="000000"/>
                <w:sz w:val="22"/>
                <w:szCs w:val="22"/>
              </w:rPr>
            </w:pPr>
            <w:r>
              <w:rPr>
                <w:b/>
                <w:bCs/>
                <w:color w:val="000000"/>
                <w:sz w:val="22"/>
                <w:szCs w:val="22"/>
              </w:rPr>
              <w:t>Υπόλοιπο Ιδίων Κεφαλαίων 31/12/2021</w:t>
            </w:r>
          </w:p>
        </w:tc>
        <w:tc>
          <w:tcPr>
            <w:tcW w:w="270" w:type="pct"/>
            <w:tcBorders>
              <w:top w:val="single" w:sz="4" w:space="0" w:color="auto"/>
              <w:left w:val="nil"/>
              <w:bottom w:val="single" w:sz="8" w:space="0" w:color="auto"/>
              <w:right w:val="single" w:sz="8" w:space="0" w:color="auto"/>
            </w:tcBorders>
            <w:shd w:val="clear" w:color="auto" w:fill="auto"/>
            <w:noWrap/>
            <w:vAlign w:val="bottom"/>
            <w:hideMark/>
          </w:tcPr>
          <w:p w:rsidR="003B577F" w:rsidRDefault="003B577F">
            <w:pPr>
              <w:rPr>
                <w:b/>
                <w:bCs/>
                <w:color w:val="000000"/>
                <w:sz w:val="22"/>
                <w:szCs w:val="22"/>
              </w:rPr>
            </w:pPr>
            <w:r>
              <w:rPr>
                <w:b/>
                <w:bCs/>
                <w:color w:val="000000"/>
                <w:sz w:val="22"/>
                <w:szCs w:val="22"/>
              </w:rPr>
              <w:t> </w:t>
            </w:r>
          </w:p>
        </w:tc>
        <w:tc>
          <w:tcPr>
            <w:tcW w:w="624" w:type="pct"/>
            <w:tcBorders>
              <w:top w:val="single" w:sz="4" w:space="0" w:color="auto"/>
              <w:left w:val="nil"/>
              <w:bottom w:val="single" w:sz="8" w:space="0" w:color="auto"/>
              <w:right w:val="single" w:sz="8"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1.005.500,00</w:t>
            </w:r>
          </w:p>
        </w:tc>
        <w:tc>
          <w:tcPr>
            <w:tcW w:w="591" w:type="pct"/>
            <w:tcBorders>
              <w:top w:val="single" w:sz="4" w:space="0" w:color="auto"/>
              <w:left w:val="nil"/>
              <w:bottom w:val="single" w:sz="8" w:space="0" w:color="auto"/>
              <w:right w:val="single" w:sz="8"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1.336.500,00</w:t>
            </w:r>
          </w:p>
        </w:tc>
        <w:tc>
          <w:tcPr>
            <w:tcW w:w="778" w:type="pct"/>
            <w:tcBorders>
              <w:top w:val="single" w:sz="4" w:space="0" w:color="auto"/>
              <w:left w:val="nil"/>
              <w:bottom w:val="single" w:sz="8" w:space="0" w:color="auto"/>
              <w:right w:val="single" w:sz="8"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-2.832.342,71</w:t>
            </w:r>
          </w:p>
        </w:tc>
        <w:tc>
          <w:tcPr>
            <w:tcW w:w="663" w:type="pct"/>
            <w:tcBorders>
              <w:top w:val="single" w:sz="4" w:space="0" w:color="auto"/>
              <w:left w:val="nil"/>
              <w:bottom w:val="single" w:sz="8" w:space="0" w:color="auto"/>
              <w:right w:val="single" w:sz="8" w:space="0" w:color="auto"/>
            </w:tcBorders>
            <w:shd w:val="clear" w:color="auto" w:fill="auto"/>
            <w:noWrap/>
            <w:vAlign w:val="bottom"/>
            <w:hideMark/>
          </w:tcPr>
          <w:p w:rsidR="003B577F" w:rsidRDefault="003B577F">
            <w:pPr>
              <w:jc w:val="right"/>
              <w:rPr>
                <w:b/>
                <w:bCs/>
                <w:color w:val="000000"/>
                <w:sz w:val="22"/>
                <w:szCs w:val="22"/>
              </w:rPr>
            </w:pPr>
            <w:r>
              <w:rPr>
                <w:b/>
                <w:bCs/>
                <w:color w:val="000000"/>
                <w:sz w:val="22"/>
                <w:szCs w:val="22"/>
              </w:rPr>
              <w:t>-490.342,71</w:t>
            </w:r>
          </w:p>
        </w:tc>
      </w:tr>
    </w:tbl>
    <w:p w:rsidR="00113FF0" w:rsidRPr="00A131AE" w:rsidRDefault="00113FF0" w:rsidP="00442E06">
      <w:pPr>
        <w:shd w:val="clear" w:color="auto" w:fill="FFFFFF"/>
        <w:spacing w:after="200" w:line="276" w:lineRule="auto"/>
        <w:ind w:right="14"/>
        <w:rPr>
          <w:b/>
          <w:sz w:val="22"/>
          <w:szCs w:val="22"/>
          <w:highlight w:val="yellow"/>
        </w:rPr>
        <w:sectPr w:rsidR="00113FF0" w:rsidRPr="00A131AE" w:rsidSect="00887C7B">
          <w:headerReference w:type="default" r:id="rId17"/>
          <w:footerReference w:type="default" r:id="rId18"/>
          <w:pgSz w:w="16838" w:h="11906" w:orient="landscape"/>
          <w:pgMar w:top="1418" w:right="1418" w:bottom="1418" w:left="1418" w:header="709" w:footer="709" w:gutter="0"/>
          <w:cols w:space="708"/>
          <w:docGrid w:linePitch="360"/>
        </w:sectPr>
      </w:pPr>
    </w:p>
    <w:p w:rsidR="00442E06" w:rsidRPr="00A131AE" w:rsidRDefault="00442E06" w:rsidP="00B82D0D">
      <w:pPr>
        <w:spacing w:after="200" w:line="276" w:lineRule="auto"/>
        <w:rPr>
          <w:b/>
          <w:bCs/>
          <w:i/>
          <w:iCs/>
          <w:color w:val="000000"/>
          <w:sz w:val="22"/>
          <w:szCs w:val="22"/>
          <w:highlight w:val="yellow"/>
          <w:u w:val="single"/>
        </w:rPr>
      </w:pPr>
    </w:p>
    <w:p w:rsidR="0077094D" w:rsidRPr="00253B1B" w:rsidRDefault="00792AFF" w:rsidP="0077094D">
      <w:pPr>
        <w:pStyle w:val="1"/>
        <w:rPr>
          <w:lang w:val="el-GR"/>
        </w:rPr>
      </w:pPr>
      <w:bookmarkStart w:id="11" w:name="_Toc488058531"/>
      <w:bookmarkStart w:id="12" w:name="_Toc15545992"/>
      <w:r w:rsidRPr="00253B1B">
        <w:t>Προσάρτημα (σημειώσεις) επί των χρηματοοικονομικών καταστάσεων</w:t>
      </w:r>
      <w:r w:rsidR="00B3587C" w:rsidRPr="00253B1B">
        <w:t xml:space="preserve"> </w:t>
      </w:r>
      <w:bookmarkStart w:id="13" w:name="_Toc447633678"/>
      <w:r w:rsidR="00F14C81" w:rsidRPr="00253B1B">
        <w:br/>
      </w:r>
      <w:r w:rsidR="00B3587C" w:rsidRPr="00253B1B">
        <w:t>της</w:t>
      </w:r>
      <w:bookmarkEnd w:id="13"/>
      <w:r w:rsidR="00B3587C" w:rsidRPr="00253B1B">
        <w:t xml:space="preserve"> </w:t>
      </w:r>
      <w:bookmarkStart w:id="14" w:name="_Toc447633679"/>
      <w:r w:rsidR="00F14C81" w:rsidRPr="00253B1B">
        <w:br/>
      </w:r>
      <w:r w:rsidR="00B3587C" w:rsidRPr="00253B1B">
        <w:t xml:space="preserve">31ης Δεκεμβρίου </w:t>
      </w:r>
      <w:bookmarkEnd w:id="14"/>
      <w:r w:rsidR="00257F20" w:rsidRPr="00253B1B">
        <w:rPr>
          <w:lang w:val="el-GR"/>
        </w:rPr>
        <w:t>20</w:t>
      </w:r>
      <w:bookmarkEnd w:id="11"/>
      <w:bookmarkEnd w:id="12"/>
      <w:r w:rsidR="00012256">
        <w:rPr>
          <w:lang w:val="el-GR"/>
        </w:rPr>
        <w:t>21</w:t>
      </w:r>
    </w:p>
    <w:p w:rsidR="00792AFF" w:rsidRPr="00253B1B" w:rsidRDefault="0077094D" w:rsidP="0077094D">
      <w:pPr>
        <w:pStyle w:val="1"/>
        <w:rPr>
          <w:lang w:val="el-GR"/>
        </w:rPr>
      </w:pPr>
      <w:bookmarkStart w:id="15" w:name="_Toc447633680"/>
      <w:bookmarkStart w:id="16" w:name="_Toc488058532"/>
      <w:bookmarkStart w:id="17" w:name="_Toc15545993"/>
      <w:r w:rsidRPr="00253B1B">
        <w:rPr>
          <w:lang w:val="el-GR"/>
        </w:rPr>
        <w:t>(Σύμφωνα με όσα προβλέπονται στο άρθρο 29 του Ν.4308/2014)</w:t>
      </w:r>
      <w:bookmarkEnd w:id="15"/>
      <w:bookmarkEnd w:id="16"/>
      <w:bookmarkEnd w:id="17"/>
    </w:p>
    <w:p w:rsidR="0075005E" w:rsidRPr="00253B1B" w:rsidRDefault="0075005E" w:rsidP="0075005E">
      <w:pPr>
        <w:rPr>
          <w:lang w:eastAsia="en-US"/>
        </w:rPr>
      </w:pPr>
    </w:p>
    <w:p w:rsidR="004A2266" w:rsidRPr="00253B1B" w:rsidRDefault="004A2266" w:rsidP="004A2266">
      <w:pPr>
        <w:rPr>
          <w:lang w:eastAsia="en-US"/>
        </w:rPr>
      </w:pPr>
    </w:p>
    <w:p w:rsidR="00FF2F42" w:rsidRPr="00253B1B" w:rsidRDefault="00FF2F42" w:rsidP="00EA17C8">
      <w:pPr>
        <w:pStyle w:val="1"/>
        <w:spacing w:after="160"/>
        <w:jc w:val="left"/>
      </w:pPr>
      <w:bookmarkStart w:id="18" w:name="_Toc488058533"/>
      <w:bookmarkStart w:id="19" w:name="_Toc15545994"/>
      <w:bookmarkEnd w:id="0"/>
      <w:r w:rsidRPr="00253B1B">
        <w:t>﻿1. Π</w:t>
      </w:r>
      <w:r w:rsidR="007C7A23" w:rsidRPr="00253B1B">
        <w:t xml:space="preserve">ληροφορίες σχετικές με την </w:t>
      </w:r>
      <w:r w:rsidR="00F2647B" w:rsidRPr="00253B1B">
        <w:t>Εταιρεία</w:t>
      </w:r>
      <w:bookmarkEnd w:id="18"/>
      <w:bookmarkEnd w:id="19"/>
    </w:p>
    <w:p w:rsidR="00FF2F42" w:rsidRPr="00253B1B" w:rsidRDefault="00670839" w:rsidP="00EA17C8">
      <w:pPr>
        <w:shd w:val="clear" w:color="auto" w:fill="FFFFFF"/>
        <w:spacing w:after="160" w:line="276" w:lineRule="auto"/>
        <w:ind w:left="851" w:right="14" w:hanging="284"/>
        <w:jc w:val="both"/>
        <w:rPr>
          <w:sz w:val="22"/>
          <w:szCs w:val="22"/>
          <w:lang w:val="x-none"/>
        </w:rPr>
      </w:pPr>
      <w:r w:rsidRPr="00253B1B">
        <w:rPr>
          <w:rStyle w:val="FontStyle49"/>
          <w:b w:val="0"/>
          <w:sz w:val="22"/>
          <w:szCs w:val="22"/>
        </w:rPr>
        <w:t xml:space="preserve">α) </w:t>
      </w:r>
      <w:r w:rsidR="00FF2F42" w:rsidRPr="00253B1B">
        <w:rPr>
          <w:rStyle w:val="FontStyle49"/>
          <w:b w:val="0"/>
          <w:sz w:val="22"/>
          <w:szCs w:val="22"/>
        </w:rPr>
        <w:t>Επωνυμία:</w:t>
      </w:r>
      <w:r w:rsidR="00FF2F42" w:rsidRPr="00253B1B">
        <w:rPr>
          <w:rStyle w:val="FontStyle49"/>
          <w:sz w:val="22"/>
          <w:szCs w:val="22"/>
        </w:rPr>
        <w:t xml:space="preserve"> </w:t>
      </w:r>
      <w:r w:rsidR="00743AF3" w:rsidRPr="00253B1B">
        <w:rPr>
          <w:rStyle w:val="FontStyle49"/>
          <w:b w:val="0"/>
          <w:sz w:val="22"/>
          <w:szCs w:val="22"/>
        </w:rPr>
        <w:t>«ΕΛΛΗΝΙΚΑ ΦΑΡΜΑΚΑ - ΕΡΕΥΝΑ ΚΑΙ ΑΝΑΠΤΥΞΗ - ΑΝΩNΥΜΗ ΕΤΑΙΡΕΙΑ» με τον διακριτικό τίτλο</w:t>
      </w:r>
      <w:r w:rsidR="00743AF3" w:rsidRPr="00253B1B">
        <w:rPr>
          <w:rStyle w:val="FontStyle49"/>
          <w:b w:val="0"/>
          <w:bCs w:val="0"/>
          <w:sz w:val="22"/>
          <w:szCs w:val="22"/>
        </w:rPr>
        <w:t xml:space="preserve"> </w:t>
      </w:r>
      <w:r w:rsidR="00743AF3" w:rsidRPr="00253B1B">
        <w:rPr>
          <w:rStyle w:val="FontStyle49"/>
          <w:b w:val="0"/>
          <w:sz w:val="22"/>
          <w:szCs w:val="22"/>
        </w:rPr>
        <w:t>«</w:t>
      </w:r>
      <w:r w:rsidR="00743AF3" w:rsidRPr="00253B1B">
        <w:rPr>
          <w:rStyle w:val="FontStyle49"/>
          <w:b w:val="0"/>
          <w:bCs w:val="0"/>
          <w:sz w:val="22"/>
          <w:szCs w:val="22"/>
        </w:rPr>
        <w:t>ELDRUG Α.Ε.</w:t>
      </w:r>
      <w:r w:rsidR="00743AF3" w:rsidRPr="00253B1B">
        <w:rPr>
          <w:rStyle w:val="FontStyle49"/>
          <w:b w:val="0"/>
          <w:sz w:val="22"/>
          <w:szCs w:val="22"/>
        </w:rPr>
        <w:t>»</w:t>
      </w:r>
    </w:p>
    <w:p w:rsidR="00FF2F42" w:rsidRPr="00253B1B" w:rsidRDefault="00FF2F42" w:rsidP="00EA17C8">
      <w:pPr>
        <w:shd w:val="clear" w:color="auto" w:fill="FFFFFF"/>
        <w:spacing w:after="160" w:line="276" w:lineRule="auto"/>
        <w:ind w:left="851" w:right="14" w:hanging="284"/>
        <w:jc w:val="both"/>
        <w:rPr>
          <w:sz w:val="22"/>
          <w:szCs w:val="22"/>
        </w:rPr>
      </w:pPr>
      <w:r w:rsidRPr="00253B1B">
        <w:rPr>
          <w:sz w:val="22"/>
          <w:szCs w:val="22"/>
        </w:rPr>
        <w:t xml:space="preserve">β) Νομικός τύπος: </w:t>
      </w:r>
      <w:r w:rsidRPr="00253B1B">
        <w:rPr>
          <w:rStyle w:val="FontStyle49"/>
          <w:b w:val="0"/>
          <w:sz w:val="22"/>
          <w:szCs w:val="22"/>
        </w:rPr>
        <w:t>Ανώνυμη εταιρεία.</w:t>
      </w:r>
    </w:p>
    <w:p w:rsidR="00FF2F42" w:rsidRPr="00253B1B" w:rsidRDefault="00FF2F42" w:rsidP="00EA17C8">
      <w:pPr>
        <w:shd w:val="clear" w:color="auto" w:fill="FFFFFF"/>
        <w:spacing w:after="160" w:line="276" w:lineRule="auto"/>
        <w:ind w:left="851" w:right="14" w:hanging="284"/>
        <w:jc w:val="both"/>
        <w:rPr>
          <w:sz w:val="22"/>
          <w:szCs w:val="22"/>
        </w:rPr>
      </w:pPr>
      <w:r w:rsidRPr="00253B1B">
        <w:rPr>
          <w:sz w:val="22"/>
          <w:szCs w:val="22"/>
        </w:rPr>
        <w:t>γ) Περίοδος αναφοράς: 1.1.</w:t>
      </w:r>
      <w:r w:rsidR="00012256">
        <w:rPr>
          <w:sz w:val="22"/>
          <w:szCs w:val="22"/>
        </w:rPr>
        <w:t>2021 - 31.12.2021</w:t>
      </w:r>
    </w:p>
    <w:p w:rsidR="00FF2F42" w:rsidRPr="00253B1B" w:rsidRDefault="00FF2F42" w:rsidP="00EA17C8">
      <w:pPr>
        <w:shd w:val="clear" w:color="auto" w:fill="FFFFFF"/>
        <w:spacing w:after="160" w:line="276" w:lineRule="auto"/>
        <w:ind w:left="851" w:right="14" w:hanging="284"/>
        <w:jc w:val="both"/>
        <w:rPr>
          <w:sz w:val="22"/>
          <w:szCs w:val="22"/>
          <w:lang w:val="x-none"/>
        </w:rPr>
      </w:pPr>
      <w:r w:rsidRPr="00253B1B">
        <w:rPr>
          <w:sz w:val="22"/>
          <w:szCs w:val="22"/>
        </w:rPr>
        <w:t xml:space="preserve">δ) </w:t>
      </w:r>
      <w:r w:rsidR="00670839" w:rsidRPr="00253B1B">
        <w:rPr>
          <w:sz w:val="22"/>
          <w:szCs w:val="22"/>
        </w:rPr>
        <w:tab/>
      </w:r>
      <w:r w:rsidRPr="00253B1B">
        <w:rPr>
          <w:sz w:val="22"/>
          <w:szCs w:val="22"/>
        </w:rPr>
        <w:t xml:space="preserve">Διεύθυνση της έδρας: </w:t>
      </w:r>
      <w:r w:rsidR="009A4A4B" w:rsidRPr="00253B1B">
        <w:rPr>
          <w:sz w:val="22"/>
          <w:szCs w:val="22"/>
        </w:rPr>
        <w:t>«ΕΛΛΗΝΙΚΑ ΦΑΡΜΑΚΑ - ΕΡΕΥΝΑ ΚΑΙ ΑΝΑΠΤΥΞΗ - ΑΝΩNΥΜΗ ΕΤΑΙΡΕΙΑ» με τον διακριτικό τίτλο «ELDRUG Α.Ε.»</w:t>
      </w:r>
    </w:p>
    <w:p w:rsidR="00FF2F42" w:rsidRPr="00253B1B" w:rsidRDefault="00670839" w:rsidP="00EA17C8">
      <w:pPr>
        <w:shd w:val="clear" w:color="auto" w:fill="FFFFFF"/>
        <w:spacing w:after="160" w:line="276" w:lineRule="auto"/>
        <w:ind w:left="851" w:right="14" w:hanging="284"/>
        <w:jc w:val="both"/>
        <w:rPr>
          <w:sz w:val="22"/>
          <w:szCs w:val="22"/>
        </w:rPr>
      </w:pPr>
      <w:r w:rsidRPr="00253B1B">
        <w:rPr>
          <w:sz w:val="22"/>
          <w:szCs w:val="22"/>
        </w:rPr>
        <w:t>ε)</w:t>
      </w:r>
      <w:r w:rsidRPr="00253B1B">
        <w:rPr>
          <w:sz w:val="22"/>
          <w:szCs w:val="22"/>
        </w:rPr>
        <w:tab/>
      </w:r>
      <w:r w:rsidR="00FF2F42" w:rsidRPr="00253B1B">
        <w:rPr>
          <w:sz w:val="22"/>
          <w:szCs w:val="22"/>
        </w:rPr>
        <w:t>Α.Μ.Α.Ε.:</w:t>
      </w:r>
      <w:r w:rsidR="00FC27D7" w:rsidRPr="00253B1B">
        <w:rPr>
          <w:sz w:val="22"/>
          <w:szCs w:val="22"/>
        </w:rPr>
        <w:t xml:space="preserve"> 61240/22/Β/06/34</w:t>
      </w:r>
    </w:p>
    <w:p w:rsidR="00FF2F42" w:rsidRPr="00253B1B" w:rsidRDefault="00FF2F42" w:rsidP="00EA17C8">
      <w:pPr>
        <w:shd w:val="clear" w:color="auto" w:fill="FFFFFF"/>
        <w:spacing w:after="160" w:line="276" w:lineRule="auto"/>
        <w:ind w:left="131" w:right="14" w:firstLine="720"/>
        <w:jc w:val="both"/>
        <w:rPr>
          <w:sz w:val="22"/>
          <w:szCs w:val="22"/>
        </w:rPr>
      </w:pPr>
      <w:r w:rsidRPr="00253B1B">
        <w:rPr>
          <w:sz w:val="22"/>
          <w:szCs w:val="22"/>
        </w:rPr>
        <w:t xml:space="preserve">ΓΕ.ΜΗ.: </w:t>
      </w:r>
      <w:r w:rsidR="00102B39" w:rsidRPr="00253B1B">
        <w:rPr>
          <w:sz w:val="22"/>
          <w:szCs w:val="22"/>
        </w:rPr>
        <w:t>0</w:t>
      </w:r>
      <w:r w:rsidR="00FC27D7" w:rsidRPr="00253B1B">
        <w:rPr>
          <w:sz w:val="22"/>
          <w:szCs w:val="22"/>
        </w:rPr>
        <w:t>35522716000</w:t>
      </w:r>
    </w:p>
    <w:p w:rsidR="00180837" w:rsidRPr="00253B1B" w:rsidRDefault="00FF2F42" w:rsidP="00EA17C8">
      <w:pPr>
        <w:shd w:val="clear" w:color="auto" w:fill="FFFFFF"/>
        <w:spacing w:after="160" w:line="276" w:lineRule="auto"/>
        <w:ind w:left="993" w:right="14" w:hanging="426"/>
        <w:jc w:val="both"/>
        <w:rPr>
          <w:sz w:val="22"/>
          <w:szCs w:val="22"/>
        </w:rPr>
      </w:pPr>
      <w:r w:rsidRPr="00253B1B">
        <w:rPr>
          <w:sz w:val="22"/>
          <w:szCs w:val="22"/>
        </w:rPr>
        <w:t>στ)</w:t>
      </w:r>
      <w:r w:rsidR="00670839" w:rsidRPr="00253B1B">
        <w:rPr>
          <w:sz w:val="22"/>
          <w:szCs w:val="22"/>
        </w:rPr>
        <w:tab/>
      </w:r>
      <w:r w:rsidRPr="00253B1B">
        <w:rPr>
          <w:sz w:val="22"/>
          <w:szCs w:val="22"/>
        </w:rPr>
        <w:t>Η διοίκηση εκτιμά ότι η παραδοχή της συνεχιζόμενης δραστηριότ</w:t>
      </w:r>
      <w:r w:rsidR="00670839" w:rsidRPr="00253B1B">
        <w:rPr>
          <w:sz w:val="22"/>
          <w:szCs w:val="22"/>
        </w:rPr>
        <w:t xml:space="preserve">ητας είναι ενδεδειγμένη για την </w:t>
      </w:r>
      <w:r w:rsidRPr="00253B1B">
        <w:rPr>
          <w:sz w:val="22"/>
          <w:szCs w:val="22"/>
        </w:rPr>
        <w:t xml:space="preserve">κατάρτιση των χρηματοοικονομικών καταστάσεων. </w:t>
      </w:r>
    </w:p>
    <w:p w:rsidR="00FF2F42" w:rsidRPr="00253B1B" w:rsidRDefault="00180837" w:rsidP="00EA17C8">
      <w:pPr>
        <w:shd w:val="clear" w:color="auto" w:fill="FFFFFF"/>
        <w:spacing w:after="160" w:line="276" w:lineRule="auto"/>
        <w:ind w:left="851" w:right="14" w:hanging="284"/>
        <w:jc w:val="both"/>
        <w:rPr>
          <w:sz w:val="22"/>
          <w:szCs w:val="22"/>
        </w:rPr>
      </w:pPr>
      <w:r w:rsidRPr="00253B1B">
        <w:rPr>
          <w:sz w:val="22"/>
          <w:szCs w:val="22"/>
        </w:rPr>
        <w:t>ζ</w:t>
      </w:r>
      <w:r w:rsidR="00FF2F42" w:rsidRPr="00253B1B">
        <w:rPr>
          <w:sz w:val="22"/>
          <w:szCs w:val="22"/>
        </w:rPr>
        <w:t>)</w:t>
      </w:r>
      <w:r w:rsidR="00670839" w:rsidRPr="00253B1B">
        <w:rPr>
          <w:sz w:val="22"/>
          <w:szCs w:val="22"/>
        </w:rPr>
        <w:tab/>
      </w:r>
      <w:r w:rsidR="00FF2F42" w:rsidRPr="00253B1B">
        <w:rPr>
          <w:sz w:val="22"/>
          <w:szCs w:val="22"/>
        </w:rPr>
        <w:t>Η ε</w:t>
      </w:r>
      <w:r w:rsidR="00711D21" w:rsidRPr="00253B1B">
        <w:rPr>
          <w:sz w:val="22"/>
          <w:szCs w:val="22"/>
        </w:rPr>
        <w:t xml:space="preserve">ταιρεία  ανήκει στην κατηγορία </w:t>
      </w:r>
      <w:r w:rsidR="00FF2F42" w:rsidRPr="00253B1B">
        <w:rPr>
          <w:sz w:val="22"/>
          <w:szCs w:val="22"/>
        </w:rPr>
        <w:t>πολύ μικρή οντότητα.</w:t>
      </w:r>
    </w:p>
    <w:p w:rsidR="00FF2F42" w:rsidRPr="00253B1B" w:rsidRDefault="00180837" w:rsidP="00EA17C8">
      <w:pPr>
        <w:shd w:val="clear" w:color="auto" w:fill="FFFFFF"/>
        <w:spacing w:after="160" w:line="276" w:lineRule="auto"/>
        <w:ind w:left="851" w:right="14" w:hanging="284"/>
        <w:jc w:val="both"/>
        <w:rPr>
          <w:sz w:val="22"/>
          <w:szCs w:val="22"/>
        </w:rPr>
      </w:pPr>
      <w:r w:rsidRPr="00253B1B">
        <w:rPr>
          <w:sz w:val="22"/>
          <w:szCs w:val="22"/>
        </w:rPr>
        <w:t>η</w:t>
      </w:r>
      <w:r w:rsidR="00FF2F42" w:rsidRPr="00253B1B">
        <w:rPr>
          <w:sz w:val="22"/>
          <w:szCs w:val="22"/>
        </w:rPr>
        <w:t xml:space="preserve">) </w:t>
      </w:r>
      <w:r w:rsidR="00670839" w:rsidRPr="00253B1B">
        <w:rPr>
          <w:sz w:val="22"/>
          <w:szCs w:val="22"/>
        </w:rPr>
        <w:tab/>
      </w:r>
      <w:r w:rsidR="00FF2F42" w:rsidRPr="00253B1B">
        <w:rPr>
          <w:sz w:val="22"/>
          <w:szCs w:val="22"/>
        </w:rPr>
        <w:t>Η διοίκηση δηλώνει ότι οι χρηματοοικονομικές καταστάσεις έχου</w:t>
      </w:r>
      <w:r w:rsidR="00670839" w:rsidRPr="00253B1B">
        <w:rPr>
          <w:sz w:val="22"/>
          <w:szCs w:val="22"/>
        </w:rPr>
        <w:t xml:space="preserve">ν καταρτιστεί σε πλήρη συμφωνία </w:t>
      </w:r>
      <w:r w:rsidR="00FF2F42" w:rsidRPr="00253B1B">
        <w:rPr>
          <w:sz w:val="22"/>
          <w:szCs w:val="22"/>
        </w:rPr>
        <w:t>με τον παρόντα νόμο.</w:t>
      </w:r>
    </w:p>
    <w:p w:rsidR="00180837" w:rsidRPr="00253B1B" w:rsidRDefault="00180837" w:rsidP="00EA17C8">
      <w:pPr>
        <w:shd w:val="clear" w:color="auto" w:fill="FFFFFF"/>
        <w:spacing w:after="160" w:line="276" w:lineRule="auto"/>
        <w:ind w:left="851" w:right="14" w:hanging="284"/>
        <w:jc w:val="both"/>
        <w:rPr>
          <w:sz w:val="22"/>
          <w:szCs w:val="22"/>
        </w:rPr>
      </w:pPr>
      <w:r w:rsidRPr="00253B1B">
        <w:rPr>
          <w:bCs/>
          <w:sz w:val="22"/>
          <w:szCs w:val="22"/>
        </w:rPr>
        <w:t>θ</w:t>
      </w:r>
      <w:r w:rsidR="00670839" w:rsidRPr="00253B1B">
        <w:rPr>
          <w:bCs/>
          <w:sz w:val="22"/>
          <w:szCs w:val="22"/>
        </w:rPr>
        <w:t>)</w:t>
      </w:r>
      <w:r w:rsidR="00670839" w:rsidRPr="00253B1B">
        <w:rPr>
          <w:bCs/>
          <w:sz w:val="22"/>
          <w:szCs w:val="22"/>
        </w:rPr>
        <w:tab/>
      </w:r>
      <w:r w:rsidRPr="00253B1B">
        <w:rPr>
          <w:bCs/>
          <w:sz w:val="22"/>
          <w:szCs w:val="22"/>
        </w:rPr>
        <w:t>Τα ποσά των χρηματοοικονομικών</w:t>
      </w:r>
      <w:r w:rsidRPr="00253B1B">
        <w:rPr>
          <w:sz w:val="22"/>
          <w:szCs w:val="22"/>
        </w:rPr>
        <w:t xml:space="preserve"> καταστάσεων εκφράζονται σε ευρώ, που αποτελεί το λειτουργικό νόμισμα της Εταιρείας. </w:t>
      </w:r>
    </w:p>
    <w:p w:rsidR="00180837" w:rsidRPr="00253B1B" w:rsidRDefault="00180837" w:rsidP="00EA17C8">
      <w:pPr>
        <w:shd w:val="clear" w:color="auto" w:fill="FFFFFF"/>
        <w:spacing w:after="160" w:line="276" w:lineRule="auto"/>
        <w:ind w:left="851" w:right="14" w:hanging="284"/>
        <w:jc w:val="both"/>
        <w:rPr>
          <w:sz w:val="22"/>
          <w:szCs w:val="22"/>
        </w:rPr>
      </w:pPr>
      <w:r w:rsidRPr="00253B1B">
        <w:rPr>
          <w:sz w:val="22"/>
          <w:szCs w:val="22"/>
        </w:rPr>
        <w:t>ι</w:t>
      </w:r>
      <w:r w:rsidR="00670839" w:rsidRPr="00253B1B">
        <w:rPr>
          <w:sz w:val="22"/>
          <w:szCs w:val="22"/>
        </w:rPr>
        <w:t>)</w:t>
      </w:r>
      <w:r w:rsidR="00670839" w:rsidRPr="00253B1B">
        <w:rPr>
          <w:sz w:val="22"/>
          <w:szCs w:val="22"/>
        </w:rPr>
        <w:tab/>
      </w:r>
      <w:r w:rsidRPr="00253B1B">
        <w:rPr>
          <w:sz w:val="22"/>
          <w:szCs w:val="22"/>
        </w:rPr>
        <w:t>Τα ποσά δεν έχουν στρογγυλοποιηθεί εκτός αν αναφέρεται διαφορετικά.</w:t>
      </w:r>
    </w:p>
    <w:p w:rsidR="00F2647B" w:rsidRPr="00253B1B" w:rsidRDefault="00FF2F42" w:rsidP="00EA17C8">
      <w:pPr>
        <w:pStyle w:val="1"/>
        <w:spacing w:after="160"/>
        <w:jc w:val="left"/>
      </w:pPr>
      <w:bookmarkStart w:id="20" w:name="_Toc488058534"/>
      <w:bookmarkStart w:id="21" w:name="_Toc15545995"/>
      <w:r w:rsidRPr="00253B1B">
        <w:t>2. Π</w:t>
      </w:r>
      <w:r w:rsidR="00F2647B" w:rsidRPr="00253B1B">
        <w:t>αράγοντες που θέτουν σε κίνδυνο την προοπτική της Εταιρείας ως συνεχιζόμενης δραστηριότητας</w:t>
      </w:r>
      <w:bookmarkEnd w:id="20"/>
      <w:bookmarkEnd w:id="21"/>
    </w:p>
    <w:p w:rsidR="0035127F" w:rsidRPr="00253B1B" w:rsidRDefault="00AC7B5E" w:rsidP="0035127F">
      <w:pPr>
        <w:shd w:val="clear" w:color="auto" w:fill="FFFFFF"/>
        <w:spacing w:after="200" w:line="276" w:lineRule="auto"/>
        <w:ind w:left="5" w:right="14" w:firstLine="562"/>
        <w:jc w:val="both"/>
        <w:rPr>
          <w:sz w:val="22"/>
          <w:szCs w:val="22"/>
        </w:rPr>
      </w:pPr>
      <w:r w:rsidRPr="00253B1B">
        <w:rPr>
          <w:sz w:val="22"/>
          <w:szCs w:val="22"/>
        </w:rPr>
        <w:t>Τα αρνητικά ίδια κεφάλαια και</w:t>
      </w:r>
      <w:r w:rsidR="001B4C86" w:rsidRPr="00253B1B">
        <w:rPr>
          <w:sz w:val="22"/>
          <w:szCs w:val="22"/>
        </w:rPr>
        <w:t xml:space="preserve"> </w:t>
      </w:r>
      <w:r w:rsidR="00474BEE" w:rsidRPr="00253B1B">
        <w:rPr>
          <w:sz w:val="22"/>
          <w:szCs w:val="22"/>
        </w:rPr>
        <w:t>το αρνητικό κεφάλαιο κίνησης</w:t>
      </w:r>
      <w:r w:rsidR="0035127F" w:rsidRPr="00253B1B">
        <w:rPr>
          <w:sz w:val="22"/>
          <w:szCs w:val="22"/>
        </w:rPr>
        <w:t xml:space="preserve"> προξενούν εύλογη αβεβαιότητα αναφορικά µε την δυνατότητα της εταιρείας να συνεχίσει την δραστηριότητά της. </w:t>
      </w:r>
    </w:p>
    <w:p w:rsidR="0035127F" w:rsidRPr="00253B1B" w:rsidRDefault="0035127F" w:rsidP="0035127F">
      <w:pPr>
        <w:shd w:val="clear" w:color="auto" w:fill="FFFFFF"/>
        <w:spacing w:after="200" w:line="276" w:lineRule="auto"/>
        <w:ind w:left="5" w:right="14" w:firstLine="562"/>
        <w:jc w:val="both"/>
        <w:rPr>
          <w:sz w:val="22"/>
          <w:szCs w:val="22"/>
        </w:rPr>
      </w:pPr>
      <w:r w:rsidRPr="007A28F7">
        <w:rPr>
          <w:sz w:val="22"/>
          <w:szCs w:val="22"/>
        </w:rPr>
        <w:t xml:space="preserve">Η διοίκηση του </w:t>
      </w:r>
      <w:r w:rsidR="00253B1B" w:rsidRPr="007A28F7">
        <w:rPr>
          <w:sz w:val="22"/>
          <w:szCs w:val="22"/>
        </w:rPr>
        <w:t>ομίλου</w:t>
      </w:r>
      <w:r w:rsidRPr="007A28F7">
        <w:rPr>
          <w:sz w:val="22"/>
          <w:szCs w:val="22"/>
        </w:rPr>
        <w:t xml:space="preserve"> </w:t>
      </w:r>
      <w:r w:rsidR="003C1CFA" w:rsidRPr="007A28F7">
        <w:rPr>
          <w:sz w:val="22"/>
          <w:szCs w:val="22"/>
        </w:rPr>
        <w:t xml:space="preserve">ΒΙΑΝΕΞ, στον οποίο ανήκει η εταιρεία, </w:t>
      </w:r>
      <w:r w:rsidR="00253B1B" w:rsidRPr="007A28F7">
        <w:rPr>
          <w:sz w:val="22"/>
          <w:szCs w:val="22"/>
        </w:rPr>
        <w:t>λαμβάνοντας</w:t>
      </w:r>
      <w:r w:rsidRPr="007A28F7">
        <w:rPr>
          <w:sz w:val="22"/>
          <w:szCs w:val="22"/>
        </w:rPr>
        <w:t xml:space="preserve"> υπ’ όψη τις ανωτέρω αβεβαιότητες </w:t>
      </w:r>
      <w:r w:rsidR="00253B1B" w:rsidRPr="007A28F7">
        <w:rPr>
          <w:sz w:val="22"/>
          <w:szCs w:val="22"/>
        </w:rPr>
        <w:t>εκτιμά</w:t>
      </w:r>
      <w:r w:rsidRPr="007A28F7">
        <w:rPr>
          <w:sz w:val="22"/>
          <w:szCs w:val="22"/>
        </w:rPr>
        <w:t xml:space="preserve"> ότι η εταιρία θα μπορέσει να συνεχίσει για το προβλεπτό μέλλον την λειτουργία της </w:t>
      </w:r>
      <w:r w:rsidR="00253B1B" w:rsidRPr="007A28F7">
        <w:rPr>
          <w:sz w:val="22"/>
          <w:szCs w:val="22"/>
        </w:rPr>
        <w:t>δεδομένου</w:t>
      </w:r>
      <w:r w:rsidRPr="007A28F7">
        <w:rPr>
          <w:sz w:val="22"/>
          <w:szCs w:val="22"/>
        </w:rPr>
        <w:t xml:space="preserve"> ότι </w:t>
      </w:r>
      <w:r w:rsidR="002E5DD3">
        <w:rPr>
          <w:sz w:val="22"/>
          <w:szCs w:val="22"/>
        </w:rPr>
        <w:t>η μητρική εταιρία θα διαθέσει</w:t>
      </w:r>
      <w:r w:rsidRPr="007A28F7">
        <w:rPr>
          <w:sz w:val="22"/>
          <w:szCs w:val="22"/>
        </w:rPr>
        <w:t xml:space="preserve"> </w:t>
      </w:r>
      <w:r w:rsidR="002E5DD3">
        <w:rPr>
          <w:sz w:val="22"/>
          <w:szCs w:val="22"/>
        </w:rPr>
        <w:t>πόρους</w:t>
      </w:r>
      <w:r w:rsidRPr="007A28F7">
        <w:rPr>
          <w:sz w:val="22"/>
          <w:szCs w:val="22"/>
        </w:rPr>
        <w:t>, οι οποίοι εξασφαλίζουν τη συνέχιση της λειτουργίας της ως «δρώσα οικονομική μονάδα (Going Concern)».</w:t>
      </w:r>
    </w:p>
    <w:p w:rsidR="00FF2F42" w:rsidRPr="00253B1B" w:rsidRDefault="00FF2F42" w:rsidP="006949A7">
      <w:pPr>
        <w:pStyle w:val="1"/>
        <w:jc w:val="left"/>
        <w:rPr>
          <w:lang w:val="el-GR"/>
        </w:rPr>
      </w:pPr>
      <w:bookmarkStart w:id="22" w:name="_Toc488058535"/>
      <w:bookmarkStart w:id="23" w:name="_Toc15545996"/>
      <w:r w:rsidRPr="00253B1B">
        <w:t>3. Λ</w:t>
      </w:r>
      <w:r w:rsidR="00503C91" w:rsidRPr="00253B1B">
        <w:t>ογιστικές αρχές και μέθοδοι</w:t>
      </w:r>
      <w:bookmarkEnd w:id="22"/>
      <w:bookmarkEnd w:id="23"/>
    </w:p>
    <w:p w:rsidR="0043517B" w:rsidRPr="00253B1B" w:rsidRDefault="0043517B" w:rsidP="0043517B">
      <w:pPr>
        <w:rPr>
          <w:sz w:val="14"/>
          <w:lang w:eastAsia="en-US"/>
        </w:rPr>
      </w:pPr>
    </w:p>
    <w:p w:rsidR="00180837" w:rsidRPr="00253B1B" w:rsidRDefault="00180837" w:rsidP="00B82D0D">
      <w:pPr>
        <w:shd w:val="clear" w:color="auto" w:fill="FFFFFF"/>
        <w:spacing w:after="200" w:line="276" w:lineRule="auto"/>
        <w:ind w:left="5" w:right="14" w:firstLine="562"/>
        <w:jc w:val="both"/>
        <w:rPr>
          <w:sz w:val="22"/>
          <w:szCs w:val="22"/>
        </w:rPr>
      </w:pPr>
      <w:r w:rsidRPr="00253B1B">
        <w:rPr>
          <w:sz w:val="22"/>
          <w:szCs w:val="22"/>
        </w:rPr>
        <w:t xml:space="preserve">Η σύνταξη των οικονομικών καταστάσεων προϋποθέτει την άσκηση κρίσης και την διενέργεια εκτιμήσεων από την διοίκηση, τα οποία επηρεάζουν την εφαρμογή των λογιστικών πολιτικών, τα αναγνωριζόμενα ποσά των εσόδων, εξόδων, περιουσιακών στοιχείων, υποχρεώσεων και γνωστοποιήσεων. Αυτές οι εκτιμήσεις και παραδοχές βασίζονται στην εμπειρία του παρελθόντος και σε λοιπούς παράγοντες που </w:t>
      </w:r>
      <w:r w:rsidRPr="00253B1B">
        <w:rPr>
          <w:sz w:val="22"/>
          <w:szCs w:val="22"/>
        </w:rPr>
        <w:lastRenderedPageBreak/>
        <w:t xml:space="preserve">θεωρείται ότι είναι εύλογα για τις περιστάσεις. Τα πραγματικά γεγονότα όμως, μπορεί να διαφέρουν από αυτές τις εκτιμήσεις. Οι εκτιμήσεις και οι σχετικές παραδοχές επανεκτιμούνται σε συνεχή βάση.  </w:t>
      </w:r>
    </w:p>
    <w:p w:rsidR="00180837" w:rsidRPr="00253B1B" w:rsidRDefault="00180837" w:rsidP="00B82D0D">
      <w:pPr>
        <w:shd w:val="clear" w:color="auto" w:fill="FFFFFF"/>
        <w:spacing w:after="200" w:line="276" w:lineRule="auto"/>
        <w:ind w:left="5" w:right="14" w:firstLine="562"/>
        <w:jc w:val="both"/>
        <w:rPr>
          <w:sz w:val="22"/>
          <w:szCs w:val="22"/>
        </w:rPr>
      </w:pPr>
      <w:r w:rsidRPr="00253B1B">
        <w:rPr>
          <w:sz w:val="22"/>
          <w:szCs w:val="22"/>
        </w:rPr>
        <w:t>Οι λογιστικές εκτιμήσεις γίνονται κυρίως για τον υπολογισμό των αποσβέσεων των  παγίων, τις συμμετοχές, την απομείωση των απαιτήσεων, τις προβλέψεις και την εκτίμηση της εύλογης αξίας εφόσον επιλέγεται η εφαρμογή της.</w:t>
      </w:r>
    </w:p>
    <w:p w:rsidR="00FF2F42" w:rsidRPr="00253B1B" w:rsidRDefault="00FF2F42" w:rsidP="00B82D0D">
      <w:pPr>
        <w:shd w:val="clear" w:color="auto" w:fill="FFFFFF"/>
        <w:spacing w:after="200" w:line="276" w:lineRule="auto"/>
        <w:ind w:left="5" w:right="14" w:hanging="5"/>
        <w:jc w:val="both"/>
        <w:rPr>
          <w:b/>
          <w:sz w:val="22"/>
          <w:szCs w:val="22"/>
        </w:rPr>
      </w:pPr>
      <w:r w:rsidRPr="00253B1B">
        <w:rPr>
          <w:b/>
          <w:sz w:val="22"/>
          <w:szCs w:val="22"/>
        </w:rPr>
        <w:t>3.1. Ακολουθούμενες λογιστικές αρχές και μέθοδοι</w:t>
      </w:r>
    </w:p>
    <w:p w:rsidR="00B34338" w:rsidRPr="00253B1B" w:rsidRDefault="00E86F8A" w:rsidP="00B82D0D">
      <w:pPr>
        <w:shd w:val="clear" w:color="auto" w:fill="FFFFFF"/>
        <w:spacing w:after="200" w:line="276" w:lineRule="auto"/>
        <w:ind w:left="5" w:right="14" w:firstLine="562"/>
        <w:jc w:val="both"/>
        <w:rPr>
          <w:sz w:val="22"/>
          <w:szCs w:val="22"/>
        </w:rPr>
      </w:pPr>
      <w:r w:rsidRPr="00253B1B">
        <w:rPr>
          <w:sz w:val="22"/>
          <w:szCs w:val="22"/>
        </w:rPr>
        <w:t xml:space="preserve">﻿Η </w:t>
      </w:r>
      <w:r w:rsidR="00FF2F42" w:rsidRPr="00253B1B">
        <w:rPr>
          <w:sz w:val="22"/>
          <w:szCs w:val="22"/>
        </w:rPr>
        <w:t>εταιρεία για τα επιμέρους στοιχεία των χρηματοοικονομικών καταστάσεων εφαρμόζει τις ακόλουθε</w:t>
      </w:r>
      <w:r w:rsidR="00180837" w:rsidRPr="00253B1B">
        <w:rPr>
          <w:sz w:val="22"/>
          <w:szCs w:val="22"/>
        </w:rPr>
        <w:t xml:space="preserve">ς λογιστικές αρχές και μεθόδους, στα πλαίσια της βασικής αρχής του δουλευμένου. </w:t>
      </w:r>
    </w:p>
    <w:p w:rsidR="00FF2F42" w:rsidRPr="00253B1B" w:rsidRDefault="00FF2F42" w:rsidP="00B82D0D">
      <w:pPr>
        <w:shd w:val="clear" w:color="auto" w:fill="FFFFFF"/>
        <w:spacing w:after="200" w:line="276" w:lineRule="auto"/>
        <w:ind w:left="5" w:right="14" w:hanging="5"/>
        <w:jc w:val="both"/>
        <w:rPr>
          <w:b/>
          <w:sz w:val="22"/>
          <w:szCs w:val="22"/>
        </w:rPr>
      </w:pPr>
      <w:r w:rsidRPr="00253B1B">
        <w:rPr>
          <w:b/>
          <w:sz w:val="22"/>
          <w:szCs w:val="22"/>
        </w:rPr>
        <w:t xml:space="preserve">3.1.1. </w:t>
      </w:r>
      <w:r w:rsidR="003F2BDF" w:rsidRPr="00253B1B">
        <w:rPr>
          <w:b/>
          <w:sz w:val="22"/>
          <w:szCs w:val="22"/>
        </w:rPr>
        <w:t>Ενσώματα π</w:t>
      </w:r>
      <w:r w:rsidRPr="00253B1B">
        <w:rPr>
          <w:b/>
          <w:sz w:val="22"/>
          <w:szCs w:val="22"/>
        </w:rPr>
        <w:t>άγια περιουσιακά στοιχεία</w:t>
      </w:r>
    </w:p>
    <w:p w:rsidR="00F92643" w:rsidRPr="00253B1B" w:rsidRDefault="00F92643" w:rsidP="00B82D0D">
      <w:pPr>
        <w:shd w:val="clear" w:color="auto" w:fill="FFFFFF"/>
        <w:spacing w:after="200" w:line="276" w:lineRule="auto"/>
        <w:ind w:left="5" w:right="14" w:firstLine="562"/>
        <w:jc w:val="both"/>
        <w:rPr>
          <w:b/>
          <w:sz w:val="22"/>
          <w:szCs w:val="22"/>
        </w:rPr>
      </w:pPr>
      <w:r w:rsidRPr="00253B1B">
        <w:rPr>
          <w:b/>
          <w:sz w:val="22"/>
          <w:szCs w:val="22"/>
        </w:rPr>
        <w:t>α) Αρχική καταχώριση</w:t>
      </w:r>
    </w:p>
    <w:p w:rsidR="00FF2F42" w:rsidRPr="00253B1B" w:rsidRDefault="00FF2F42" w:rsidP="00B82D0D">
      <w:pPr>
        <w:shd w:val="clear" w:color="auto" w:fill="FFFFFF"/>
        <w:spacing w:after="200" w:line="276" w:lineRule="auto"/>
        <w:ind w:left="5" w:right="14" w:firstLine="562"/>
        <w:jc w:val="both"/>
        <w:rPr>
          <w:sz w:val="22"/>
          <w:szCs w:val="22"/>
        </w:rPr>
      </w:pPr>
      <w:r w:rsidRPr="00253B1B">
        <w:rPr>
          <w:sz w:val="22"/>
          <w:szCs w:val="22"/>
        </w:rPr>
        <w:t xml:space="preserve">Τα </w:t>
      </w:r>
      <w:r w:rsidR="003F2BDF" w:rsidRPr="00253B1B">
        <w:rPr>
          <w:sz w:val="22"/>
          <w:szCs w:val="22"/>
        </w:rPr>
        <w:t xml:space="preserve">ενσώματα </w:t>
      </w:r>
      <w:r w:rsidRPr="00253B1B">
        <w:rPr>
          <w:sz w:val="22"/>
          <w:szCs w:val="22"/>
        </w:rPr>
        <w:t xml:space="preserve">πάγια περιουσιακά στοιχεία καταχωρίζονται αρχικά στο κόστος κτήσεως, το οποίο περιλαμβάνει κάθε δαπάνη που απαιτείται </w:t>
      </w:r>
      <w:r w:rsidR="00A1694C" w:rsidRPr="00253B1B">
        <w:rPr>
          <w:sz w:val="22"/>
          <w:szCs w:val="22"/>
        </w:rPr>
        <w:t xml:space="preserve">για να έλθει </w:t>
      </w:r>
      <w:r w:rsidRPr="00253B1B">
        <w:rPr>
          <w:sz w:val="22"/>
          <w:szCs w:val="22"/>
        </w:rPr>
        <w:t xml:space="preserve">το στοιχείο στην παρούσα κατάσταση ή θέση ή επιδιωκόμενη χρήση. </w:t>
      </w:r>
    </w:p>
    <w:p w:rsidR="00FF2F42" w:rsidRPr="00253B1B" w:rsidRDefault="00FF2F42" w:rsidP="00B82D0D">
      <w:pPr>
        <w:shd w:val="clear" w:color="auto" w:fill="FFFFFF"/>
        <w:spacing w:after="200" w:line="276" w:lineRule="auto"/>
        <w:ind w:left="5" w:right="14" w:firstLine="562"/>
        <w:jc w:val="both"/>
        <w:rPr>
          <w:sz w:val="22"/>
          <w:szCs w:val="22"/>
          <w:u w:val="single"/>
        </w:rPr>
      </w:pPr>
      <w:r w:rsidRPr="00253B1B">
        <w:rPr>
          <w:sz w:val="22"/>
          <w:szCs w:val="22"/>
        </w:rPr>
        <w:t>Ειδικότερα το κόστος των ιδιοπαραγόμενων πάγιων στοιχείων</w:t>
      </w:r>
      <w:r w:rsidR="001065DA" w:rsidRPr="00253B1B">
        <w:rPr>
          <w:sz w:val="22"/>
          <w:szCs w:val="22"/>
        </w:rPr>
        <w:t xml:space="preserve">, </w:t>
      </w:r>
      <w:r w:rsidRPr="00253B1B">
        <w:rPr>
          <w:sz w:val="22"/>
          <w:szCs w:val="22"/>
        </w:rPr>
        <w:t xml:space="preserve"> περιλαμβάνει το κόστος πρώτων υλών, αναλώσιμων υλικών, εργασίας και άλλο κόστος που σχετίζεται άμεσα με το εν λόγω πάγιο στοιχείο. Επιπλέον περιλαμβάνει μια εύλογη αναλογία σταθερών και μεταβλητών εξόδων που σχετίζονται έμμεσα με το </w:t>
      </w:r>
      <w:r w:rsidR="00503C91" w:rsidRPr="00253B1B">
        <w:rPr>
          <w:sz w:val="22"/>
          <w:szCs w:val="22"/>
        </w:rPr>
        <w:t>ιδιοπαραγόμενο</w:t>
      </w:r>
      <w:r w:rsidRPr="00253B1B">
        <w:rPr>
          <w:sz w:val="22"/>
          <w:szCs w:val="22"/>
        </w:rPr>
        <w:t xml:space="preserve"> πάγιο στοιχείο, στο βαθμό που τα ποσά αυτά αναφέρονται στην περίοδο κατασκευής</w:t>
      </w:r>
      <w:r w:rsidR="00F92643" w:rsidRPr="00253B1B">
        <w:rPr>
          <w:sz w:val="22"/>
          <w:szCs w:val="22"/>
        </w:rPr>
        <w:t xml:space="preserve"> ή παραγωγής</w:t>
      </w:r>
      <w:r w:rsidRPr="00253B1B">
        <w:rPr>
          <w:sz w:val="22"/>
          <w:szCs w:val="22"/>
        </w:rPr>
        <w:t xml:space="preserve">. Η εταιρεία </w:t>
      </w:r>
      <w:r w:rsidR="00C569B8" w:rsidRPr="00253B1B">
        <w:rPr>
          <w:sz w:val="22"/>
          <w:szCs w:val="22"/>
        </w:rPr>
        <w:t>δεν επιβαρύνει</w:t>
      </w:r>
      <w:r w:rsidRPr="00253B1B">
        <w:rPr>
          <w:sz w:val="22"/>
          <w:szCs w:val="22"/>
        </w:rPr>
        <w:t xml:space="preserve"> το κόστος των ιδιοπαραγόμενων πάγιων στοιχείων μακράς περιόδου κατασκευής ή παραγωγής με τόκους εντόκων υποχρεώσεων κατά το μέρος που αναλογούν σε αυτό.</w:t>
      </w:r>
    </w:p>
    <w:p w:rsidR="00F92643" w:rsidRPr="00253B1B" w:rsidRDefault="00F92643" w:rsidP="00B82D0D">
      <w:pPr>
        <w:shd w:val="clear" w:color="auto" w:fill="FFFFFF"/>
        <w:spacing w:after="200" w:line="276" w:lineRule="auto"/>
        <w:ind w:left="5" w:right="14" w:firstLine="562"/>
        <w:jc w:val="both"/>
        <w:rPr>
          <w:b/>
          <w:sz w:val="22"/>
          <w:szCs w:val="22"/>
        </w:rPr>
      </w:pPr>
      <w:r w:rsidRPr="00253B1B">
        <w:rPr>
          <w:b/>
          <w:sz w:val="22"/>
          <w:szCs w:val="22"/>
        </w:rPr>
        <w:t>β) Μεταγενέστερη αποτίμηση</w:t>
      </w:r>
    </w:p>
    <w:p w:rsidR="00FF2F42" w:rsidRPr="00253B1B" w:rsidRDefault="00FF2F42" w:rsidP="00B82D0D">
      <w:pPr>
        <w:shd w:val="clear" w:color="auto" w:fill="FFFFFF"/>
        <w:spacing w:after="200" w:line="276" w:lineRule="auto"/>
        <w:ind w:left="5" w:right="14" w:firstLine="562"/>
        <w:jc w:val="both"/>
        <w:rPr>
          <w:sz w:val="22"/>
          <w:szCs w:val="22"/>
        </w:rPr>
      </w:pPr>
      <w:r w:rsidRPr="00253B1B">
        <w:rPr>
          <w:sz w:val="22"/>
          <w:szCs w:val="22"/>
        </w:rPr>
        <w:t>Μεταγενέστερα της αρχικής καταχωρίσεως πάγια περιουσιακά στοιχεία αποτιμούνται στο αποσβέσιμο κόστος (αρχικό κόστος κτήσεως, πλέον κάθε μεταγενέστερη δαπάνη που πληροί τον ορισμό του περιουσιακού στοιχείου, μείον σωρευμένες αποσβέσεις και ζημίες απομειώσεως).</w:t>
      </w:r>
    </w:p>
    <w:p w:rsidR="00C74D88" w:rsidRPr="00253B1B" w:rsidRDefault="00C74D88" w:rsidP="00B82D0D">
      <w:pPr>
        <w:shd w:val="clear" w:color="auto" w:fill="FFFFFF"/>
        <w:spacing w:after="200" w:line="276" w:lineRule="auto"/>
        <w:ind w:left="5" w:right="14" w:firstLine="562"/>
        <w:jc w:val="both"/>
        <w:rPr>
          <w:sz w:val="22"/>
          <w:szCs w:val="22"/>
        </w:rPr>
      </w:pPr>
      <w:r w:rsidRPr="00253B1B">
        <w:rPr>
          <w:sz w:val="22"/>
          <w:szCs w:val="22"/>
        </w:rPr>
        <w:t>Οι αποσβέσεις των ενσωμάτων παγίων υπολογίζονται με την σταθερή μέθοδο μέσα στην ωφέλιμη ζωή τους, η οποία εκτιμήθηκε ως ακολούθως:</w:t>
      </w:r>
    </w:p>
    <w:p w:rsidR="00FF2F42" w:rsidRPr="00253B1B" w:rsidRDefault="00FF2F42" w:rsidP="00B82D0D">
      <w:pPr>
        <w:numPr>
          <w:ilvl w:val="0"/>
          <w:numId w:val="6"/>
        </w:numPr>
        <w:shd w:val="clear" w:color="auto" w:fill="FFFFFF"/>
        <w:spacing w:after="200" w:line="276" w:lineRule="auto"/>
        <w:ind w:left="993" w:right="14" w:hanging="426"/>
        <w:jc w:val="both"/>
        <w:rPr>
          <w:sz w:val="22"/>
          <w:szCs w:val="22"/>
        </w:rPr>
      </w:pPr>
      <w:r w:rsidRPr="00253B1B">
        <w:rPr>
          <w:sz w:val="22"/>
          <w:szCs w:val="22"/>
        </w:rPr>
        <w:t xml:space="preserve">Κτίρια και τεχνικά έργα: </w:t>
      </w:r>
      <w:r w:rsidR="003D79B0" w:rsidRPr="00253B1B">
        <w:rPr>
          <w:sz w:val="22"/>
          <w:szCs w:val="22"/>
        </w:rPr>
        <w:t>3 - 25</w:t>
      </w:r>
      <w:r w:rsidRPr="00253B1B">
        <w:rPr>
          <w:sz w:val="22"/>
          <w:szCs w:val="22"/>
        </w:rPr>
        <w:t xml:space="preserve"> έτη.</w:t>
      </w:r>
    </w:p>
    <w:p w:rsidR="00FF2F42" w:rsidRPr="00253B1B" w:rsidRDefault="00FF2F42" w:rsidP="00B82D0D">
      <w:pPr>
        <w:numPr>
          <w:ilvl w:val="0"/>
          <w:numId w:val="6"/>
        </w:numPr>
        <w:shd w:val="clear" w:color="auto" w:fill="FFFFFF"/>
        <w:spacing w:after="200" w:line="276" w:lineRule="auto"/>
        <w:ind w:left="993" w:right="14" w:hanging="426"/>
        <w:jc w:val="both"/>
        <w:rPr>
          <w:sz w:val="22"/>
          <w:szCs w:val="22"/>
        </w:rPr>
      </w:pPr>
      <w:r w:rsidRPr="00253B1B">
        <w:rPr>
          <w:sz w:val="22"/>
          <w:szCs w:val="22"/>
        </w:rPr>
        <w:t xml:space="preserve">Μηχανήματα - Τεχνικές εγκαταστάσεις και λοιπός μηχανολογικός εξοπλισμός </w:t>
      </w:r>
      <w:r w:rsidR="003D79B0" w:rsidRPr="00253B1B">
        <w:rPr>
          <w:sz w:val="22"/>
          <w:szCs w:val="22"/>
        </w:rPr>
        <w:t>3 - 10</w:t>
      </w:r>
      <w:r w:rsidRPr="00253B1B">
        <w:rPr>
          <w:sz w:val="22"/>
          <w:szCs w:val="22"/>
        </w:rPr>
        <w:t xml:space="preserve"> έτη.</w:t>
      </w:r>
    </w:p>
    <w:p w:rsidR="00FF2F42" w:rsidRPr="00253B1B" w:rsidRDefault="00FF2F42" w:rsidP="00B82D0D">
      <w:pPr>
        <w:numPr>
          <w:ilvl w:val="0"/>
          <w:numId w:val="6"/>
        </w:numPr>
        <w:shd w:val="clear" w:color="auto" w:fill="FFFFFF"/>
        <w:spacing w:after="200" w:line="276" w:lineRule="auto"/>
        <w:ind w:left="993" w:right="14" w:hanging="426"/>
        <w:jc w:val="both"/>
        <w:rPr>
          <w:sz w:val="22"/>
          <w:szCs w:val="22"/>
        </w:rPr>
      </w:pPr>
      <w:r w:rsidRPr="00253B1B">
        <w:rPr>
          <w:sz w:val="22"/>
          <w:szCs w:val="22"/>
        </w:rPr>
        <w:t xml:space="preserve">Μεταφορικά μέσα επιβατικά </w:t>
      </w:r>
      <w:r w:rsidR="00A82FAC" w:rsidRPr="00253B1B">
        <w:rPr>
          <w:sz w:val="22"/>
          <w:szCs w:val="22"/>
          <w:lang w:val="en-US"/>
        </w:rPr>
        <w:t>5 - 9</w:t>
      </w:r>
      <w:r w:rsidRPr="00253B1B">
        <w:rPr>
          <w:sz w:val="22"/>
          <w:szCs w:val="22"/>
        </w:rPr>
        <w:t xml:space="preserve"> έτη.</w:t>
      </w:r>
    </w:p>
    <w:p w:rsidR="00FF2F42" w:rsidRPr="00253B1B" w:rsidRDefault="00FF2F42" w:rsidP="00B82D0D">
      <w:pPr>
        <w:numPr>
          <w:ilvl w:val="0"/>
          <w:numId w:val="6"/>
        </w:numPr>
        <w:shd w:val="clear" w:color="auto" w:fill="FFFFFF"/>
        <w:spacing w:after="200" w:line="276" w:lineRule="auto"/>
        <w:ind w:left="993" w:right="14" w:hanging="426"/>
        <w:jc w:val="both"/>
        <w:rPr>
          <w:sz w:val="22"/>
          <w:szCs w:val="22"/>
        </w:rPr>
      </w:pPr>
      <w:r w:rsidRPr="00253B1B">
        <w:rPr>
          <w:sz w:val="22"/>
          <w:szCs w:val="22"/>
        </w:rPr>
        <w:t xml:space="preserve">Μεταφορικά μέσα φορτηγά κ.λπ. </w:t>
      </w:r>
      <w:r w:rsidR="00A82FAC" w:rsidRPr="00253B1B">
        <w:rPr>
          <w:sz w:val="22"/>
          <w:szCs w:val="22"/>
        </w:rPr>
        <w:t>4 - 9</w:t>
      </w:r>
      <w:r w:rsidRPr="00253B1B">
        <w:rPr>
          <w:sz w:val="22"/>
          <w:szCs w:val="22"/>
        </w:rPr>
        <w:t xml:space="preserve"> έτη.</w:t>
      </w:r>
    </w:p>
    <w:p w:rsidR="00FF2F42" w:rsidRPr="00253B1B" w:rsidRDefault="00FF2F42" w:rsidP="00B82D0D">
      <w:pPr>
        <w:numPr>
          <w:ilvl w:val="0"/>
          <w:numId w:val="6"/>
        </w:numPr>
        <w:shd w:val="clear" w:color="auto" w:fill="FFFFFF"/>
        <w:spacing w:after="200" w:line="276" w:lineRule="auto"/>
        <w:ind w:left="993" w:right="14" w:hanging="426"/>
        <w:jc w:val="both"/>
        <w:rPr>
          <w:sz w:val="22"/>
          <w:szCs w:val="22"/>
        </w:rPr>
      </w:pPr>
      <w:r w:rsidRPr="00253B1B">
        <w:rPr>
          <w:sz w:val="22"/>
          <w:szCs w:val="22"/>
        </w:rPr>
        <w:t xml:space="preserve">Έπιπλα και εξοπλισμός γραφείων </w:t>
      </w:r>
      <w:r w:rsidR="00A82FAC" w:rsidRPr="00253B1B">
        <w:rPr>
          <w:sz w:val="22"/>
          <w:szCs w:val="22"/>
        </w:rPr>
        <w:t>4 - 10</w:t>
      </w:r>
      <w:r w:rsidRPr="00253B1B">
        <w:rPr>
          <w:sz w:val="22"/>
          <w:szCs w:val="22"/>
        </w:rPr>
        <w:t xml:space="preserve"> έτη.</w:t>
      </w:r>
    </w:p>
    <w:p w:rsidR="00FF2F42" w:rsidRPr="00253B1B" w:rsidRDefault="00FF2F42" w:rsidP="00B82D0D">
      <w:pPr>
        <w:shd w:val="clear" w:color="auto" w:fill="FFFFFF"/>
        <w:spacing w:after="200" w:line="276" w:lineRule="auto"/>
        <w:ind w:left="5" w:right="14" w:firstLine="562"/>
        <w:jc w:val="both"/>
        <w:rPr>
          <w:sz w:val="22"/>
          <w:szCs w:val="22"/>
        </w:rPr>
      </w:pPr>
      <w:r w:rsidRPr="00253B1B">
        <w:rPr>
          <w:sz w:val="22"/>
          <w:szCs w:val="22"/>
        </w:rPr>
        <w:t>Ζημία απομειώσεως καταχωρίζεται όταν εκτιμάται ότι η λογιστική αξία του στοιχείου έχει υπερβεί την ανακτήσιμη αξία του.</w:t>
      </w:r>
    </w:p>
    <w:p w:rsidR="00F92643" w:rsidRPr="00253B1B" w:rsidRDefault="00F92643" w:rsidP="00B82D0D">
      <w:pPr>
        <w:shd w:val="clear" w:color="auto" w:fill="FFFFFF"/>
        <w:spacing w:after="200" w:line="276" w:lineRule="auto"/>
        <w:ind w:left="5" w:right="14" w:firstLine="562"/>
        <w:jc w:val="both"/>
        <w:rPr>
          <w:sz w:val="22"/>
          <w:szCs w:val="22"/>
        </w:rPr>
      </w:pPr>
      <w:r w:rsidRPr="00253B1B">
        <w:rPr>
          <w:sz w:val="22"/>
          <w:szCs w:val="22"/>
        </w:rPr>
        <w:t>Οι λογιστικές αξίες των πάγιων περιουσιακών στοιχείων της Εταιρείας ελέγχονται για απομείωση όταν υπάρχουν ενδείξεις ότι οι λογιστικές αξίες τους είναι μεγαλύτερες από τις ανακτήσιμες. Στην περίπτωση αυτή υπολογίζεται η ανακτήσιμη αξί</w:t>
      </w:r>
      <w:r w:rsidR="0030458D" w:rsidRPr="00253B1B">
        <w:rPr>
          <w:sz w:val="22"/>
          <w:szCs w:val="22"/>
        </w:rPr>
        <w:t>α</w:t>
      </w:r>
      <w:r w:rsidRPr="00253B1B">
        <w:rPr>
          <w:sz w:val="22"/>
          <w:szCs w:val="22"/>
        </w:rPr>
        <w:t xml:space="preserve"> των </w:t>
      </w:r>
      <w:r w:rsidR="0030458D" w:rsidRPr="00253B1B">
        <w:rPr>
          <w:sz w:val="22"/>
          <w:szCs w:val="22"/>
        </w:rPr>
        <w:t xml:space="preserve">πάγιων </w:t>
      </w:r>
      <w:r w:rsidRPr="00253B1B">
        <w:rPr>
          <w:sz w:val="22"/>
          <w:szCs w:val="22"/>
        </w:rPr>
        <w:t>περιουσιακών στοιχείων και αν οι λογιστικές αξίες υπερβαίνουν τ</w:t>
      </w:r>
      <w:r w:rsidR="0030458D" w:rsidRPr="00253B1B">
        <w:rPr>
          <w:sz w:val="22"/>
          <w:szCs w:val="22"/>
        </w:rPr>
        <w:t>ην</w:t>
      </w:r>
      <w:r w:rsidRPr="00253B1B">
        <w:rPr>
          <w:sz w:val="22"/>
          <w:szCs w:val="22"/>
        </w:rPr>
        <w:t xml:space="preserve"> εκτιμώμεν</w:t>
      </w:r>
      <w:r w:rsidR="0030458D" w:rsidRPr="00253B1B">
        <w:rPr>
          <w:sz w:val="22"/>
          <w:szCs w:val="22"/>
        </w:rPr>
        <w:t>η</w:t>
      </w:r>
      <w:r w:rsidRPr="00253B1B">
        <w:rPr>
          <w:sz w:val="22"/>
          <w:szCs w:val="22"/>
        </w:rPr>
        <w:t xml:space="preserve"> ανακτήσιμ</w:t>
      </w:r>
      <w:r w:rsidR="0030458D" w:rsidRPr="00253B1B">
        <w:rPr>
          <w:sz w:val="22"/>
          <w:szCs w:val="22"/>
        </w:rPr>
        <w:t>η αξία</w:t>
      </w:r>
      <w:r w:rsidRPr="00253B1B">
        <w:rPr>
          <w:sz w:val="22"/>
          <w:szCs w:val="22"/>
        </w:rPr>
        <w:t xml:space="preserve">, </w:t>
      </w:r>
      <w:r w:rsidR="0030458D" w:rsidRPr="00253B1B">
        <w:rPr>
          <w:sz w:val="22"/>
          <w:szCs w:val="22"/>
        </w:rPr>
        <w:t>η σχετική διαφορά καταχ</w:t>
      </w:r>
      <w:r w:rsidRPr="00253B1B">
        <w:rPr>
          <w:sz w:val="22"/>
          <w:szCs w:val="22"/>
        </w:rPr>
        <w:t xml:space="preserve">ωρίζεται </w:t>
      </w:r>
      <w:r w:rsidR="0030458D" w:rsidRPr="00253B1B">
        <w:rPr>
          <w:sz w:val="22"/>
          <w:szCs w:val="22"/>
        </w:rPr>
        <w:t xml:space="preserve">ως </w:t>
      </w:r>
      <w:r w:rsidRPr="00253B1B">
        <w:rPr>
          <w:sz w:val="22"/>
          <w:szCs w:val="22"/>
        </w:rPr>
        <w:t xml:space="preserve">ζημία απομείωσης στην κατάσταση </w:t>
      </w:r>
      <w:r w:rsidRPr="00253B1B">
        <w:rPr>
          <w:sz w:val="22"/>
          <w:szCs w:val="22"/>
        </w:rPr>
        <w:lastRenderedPageBreak/>
        <w:t>αποτελεσμάτων. Το ανακτήσιμο ποσό των περιουσιακών στοιχείων είναι το μεγαλύτερο μεταξύ της εύλογης αξίας (μείον τα απαιτούμενα για την πώληση έξοδα) και της αξίας χρήσ</w:t>
      </w:r>
      <w:r w:rsidR="007135DF" w:rsidRPr="00253B1B">
        <w:rPr>
          <w:sz w:val="22"/>
          <w:szCs w:val="22"/>
        </w:rPr>
        <w:t>εω</w:t>
      </w:r>
      <w:r w:rsidRPr="00253B1B">
        <w:rPr>
          <w:sz w:val="22"/>
          <w:szCs w:val="22"/>
        </w:rPr>
        <w:t xml:space="preserve">ς αυτών. </w:t>
      </w:r>
    </w:p>
    <w:p w:rsidR="00942BB3" w:rsidRPr="00253B1B" w:rsidRDefault="00942BB3" w:rsidP="00B82D0D">
      <w:pPr>
        <w:shd w:val="clear" w:color="auto" w:fill="FFFFFF"/>
        <w:spacing w:after="200" w:line="276" w:lineRule="auto"/>
        <w:ind w:left="5" w:right="14" w:firstLine="562"/>
        <w:jc w:val="both"/>
        <w:rPr>
          <w:b/>
          <w:sz w:val="22"/>
          <w:szCs w:val="22"/>
        </w:rPr>
      </w:pPr>
      <w:r w:rsidRPr="00253B1B">
        <w:rPr>
          <w:b/>
          <w:sz w:val="22"/>
          <w:szCs w:val="22"/>
        </w:rPr>
        <w:t>γ) Διαγραφή</w:t>
      </w:r>
    </w:p>
    <w:p w:rsidR="00C74D88" w:rsidRPr="00253B1B" w:rsidRDefault="00C74D88" w:rsidP="00B82D0D">
      <w:pPr>
        <w:shd w:val="clear" w:color="auto" w:fill="FFFFFF"/>
        <w:spacing w:after="200" w:line="276" w:lineRule="auto"/>
        <w:ind w:left="5" w:right="14" w:firstLine="562"/>
        <w:jc w:val="both"/>
        <w:rPr>
          <w:sz w:val="22"/>
          <w:szCs w:val="22"/>
        </w:rPr>
      </w:pPr>
      <w:r w:rsidRPr="00253B1B">
        <w:rPr>
          <w:sz w:val="22"/>
          <w:szCs w:val="22"/>
        </w:rPr>
        <w:t xml:space="preserve">Τα ενσώματα πάγια </w:t>
      </w:r>
      <w:r w:rsidR="00942BB3" w:rsidRPr="00253B1B">
        <w:rPr>
          <w:sz w:val="22"/>
          <w:szCs w:val="22"/>
        </w:rPr>
        <w:t xml:space="preserve">στοιχεία </w:t>
      </w:r>
      <w:r w:rsidRPr="00253B1B">
        <w:rPr>
          <w:sz w:val="22"/>
          <w:szCs w:val="22"/>
        </w:rPr>
        <w:t xml:space="preserve">διαγράφονται κατά την πώλησή τους ή αν η Εταιρεία δεν αναμένει μελλοντικά οικονομικά οφέλη από τη χρησιμοποίησή τους ή την πώλησή τους. </w:t>
      </w:r>
    </w:p>
    <w:p w:rsidR="00503C91" w:rsidRPr="00253B1B" w:rsidRDefault="003F2BDF" w:rsidP="00B82D0D">
      <w:pPr>
        <w:shd w:val="clear" w:color="auto" w:fill="FFFFFF"/>
        <w:spacing w:after="200" w:line="276" w:lineRule="auto"/>
        <w:ind w:left="5" w:right="14" w:hanging="5"/>
        <w:jc w:val="both"/>
        <w:rPr>
          <w:b/>
          <w:sz w:val="22"/>
          <w:szCs w:val="22"/>
        </w:rPr>
      </w:pPr>
      <w:r w:rsidRPr="00253B1B">
        <w:rPr>
          <w:b/>
          <w:sz w:val="22"/>
          <w:szCs w:val="22"/>
        </w:rPr>
        <w:t xml:space="preserve">3.1.2. </w:t>
      </w:r>
      <w:r w:rsidR="00503C91" w:rsidRPr="00253B1B">
        <w:rPr>
          <w:b/>
          <w:sz w:val="22"/>
          <w:szCs w:val="22"/>
        </w:rPr>
        <w:t xml:space="preserve">Άυλα πάγια περιουσιακά στοιχεία </w:t>
      </w:r>
    </w:p>
    <w:p w:rsidR="007762B5" w:rsidRPr="00253B1B" w:rsidRDefault="007762B5" w:rsidP="007762B5">
      <w:pPr>
        <w:shd w:val="clear" w:color="auto" w:fill="FFFFFF"/>
        <w:spacing w:after="200" w:line="276" w:lineRule="auto"/>
        <w:ind w:left="5" w:right="14" w:firstLine="562"/>
        <w:jc w:val="both"/>
        <w:rPr>
          <w:sz w:val="22"/>
          <w:szCs w:val="22"/>
        </w:rPr>
      </w:pPr>
      <w:r w:rsidRPr="00253B1B">
        <w:rPr>
          <w:sz w:val="22"/>
          <w:szCs w:val="22"/>
        </w:rPr>
        <w:t xml:space="preserve">Τα άυλα πάγια περιουσιακά στοιχεία περιλαμβάνουν άδειες – παραχωρήσεις - δικαιώματα, λογισμικά προγράμματα, εμπορικές επωνυμίες και εμπορικά σήματα. </w:t>
      </w:r>
    </w:p>
    <w:p w:rsidR="007762B5" w:rsidRPr="00253B1B" w:rsidRDefault="007762B5" w:rsidP="007762B5">
      <w:pPr>
        <w:shd w:val="clear" w:color="auto" w:fill="FFFFFF"/>
        <w:spacing w:after="200" w:line="276" w:lineRule="auto"/>
        <w:ind w:left="5" w:right="14" w:firstLine="562"/>
        <w:jc w:val="both"/>
        <w:rPr>
          <w:sz w:val="22"/>
          <w:szCs w:val="22"/>
        </w:rPr>
      </w:pPr>
      <w:r w:rsidRPr="00253B1B">
        <w:rPr>
          <w:sz w:val="22"/>
          <w:szCs w:val="22"/>
        </w:rPr>
        <w:t>Η αξία των αδειών – παραχωρήσεων - δικαιωμάτων περιλαμβάνει το κόστος κτήσεως των εν λόγω στοιχείων, καθώς και κάθε δαπάνη που έχει μεταγενέστερα πραγματοποιηθεί για την επέκταση της διάρκειας της ισχύος τους, μειωμένη κατά το ποσό των σωρευμένων αποσβέσεων και απομειώσεων της αξίας τους.</w:t>
      </w:r>
    </w:p>
    <w:p w:rsidR="007762B5" w:rsidRPr="00253B1B" w:rsidRDefault="007762B5" w:rsidP="007762B5">
      <w:pPr>
        <w:shd w:val="clear" w:color="auto" w:fill="FFFFFF"/>
        <w:spacing w:after="200" w:line="276" w:lineRule="auto"/>
        <w:ind w:left="5" w:right="14" w:firstLine="562"/>
        <w:jc w:val="both"/>
        <w:rPr>
          <w:sz w:val="22"/>
          <w:szCs w:val="22"/>
        </w:rPr>
      </w:pPr>
      <w:r w:rsidRPr="00253B1B">
        <w:rPr>
          <w:sz w:val="22"/>
          <w:szCs w:val="22"/>
        </w:rPr>
        <w:t xml:space="preserve">Η αξία των λογισμικών προγραμμάτων περιλαμβάνει το κόστος αγοράς λογισμικών προγραμμάτων καθώς και κάθε δαπάνη που έχει πραγματοποιηθεί προκειμένου αυτά να τεθούν σε καθεστώς λειτουργίας, μειωμένη κατά το ποσό των σωρευμένων αποσβέσεων και τυχόν απομειώσεων της αξίας τους. Σημαντικές μεταγενέστερες δαπάνες κεφαλαιοποιούνται στα λογισμικά προγράμματα όταν προσαυξάνουν την απόδοση τους πέραν των αρχικών προδιαγραφών. </w:t>
      </w:r>
    </w:p>
    <w:p w:rsidR="007762B5" w:rsidRPr="00253B1B" w:rsidRDefault="007762B5" w:rsidP="007762B5">
      <w:pPr>
        <w:shd w:val="clear" w:color="auto" w:fill="FFFFFF"/>
        <w:spacing w:after="200" w:line="276" w:lineRule="auto"/>
        <w:ind w:left="5" w:right="14" w:firstLine="562"/>
        <w:jc w:val="both"/>
        <w:rPr>
          <w:sz w:val="22"/>
          <w:szCs w:val="22"/>
        </w:rPr>
      </w:pPr>
      <w:r w:rsidRPr="00253B1B">
        <w:rPr>
          <w:sz w:val="22"/>
          <w:szCs w:val="22"/>
        </w:rPr>
        <w:t xml:space="preserve">Η απόσβεση των αδειών – παραχωρήσεων – δικαιωμάτων - σημάτων λογίζεται βάσει της σταθερής μεθόδου αποσβέσεως εντός της περιόδου ισχύος τους. Η απόσβεση των λογισμικών προγραμμάτων λογίζεται βάσει της σταθερής μεθόδου αποσβέσεως σε 3 – 6 έτη. </w:t>
      </w:r>
    </w:p>
    <w:p w:rsidR="007762B5" w:rsidRPr="00253B1B" w:rsidRDefault="007762B5" w:rsidP="007762B5">
      <w:pPr>
        <w:shd w:val="clear" w:color="auto" w:fill="FFFFFF"/>
        <w:spacing w:after="200" w:line="276" w:lineRule="auto"/>
        <w:ind w:left="5" w:right="14" w:firstLine="562"/>
        <w:jc w:val="both"/>
        <w:rPr>
          <w:sz w:val="22"/>
          <w:szCs w:val="22"/>
        </w:rPr>
      </w:pPr>
      <w:r w:rsidRPr="00253B1B">
        <w:rPr>
          <w:sz w:val="22"/>
          <w:szCs w:val="22"/>
        </w:rPr>
        <w:t>Η απόσβεση όλων των ανωτέρω στοιχείων περιλαμβάνεται στην κατάσταση αποτελεσμάτων.</w:t>
      </w:r>
    </w:p>
    <w:p w:rsidR="00FF2F42" w:rsidRPr="00253B1B" w:rsidRDefault="00476D3C" w:rsidP="00B82D0D">
      <w:pPr>
        <w:shd w:val="clear" w:color="auto" w:fill="FFFFFF"/>
        <w:spacing w:after="200" w:line="276" w:lineRule="auto"/>
        <w:ind w:left="5" w:right="14" w:hanging="5"/>
        <w:jc w:val="both"/>
        <w:rPr>
          <w:b/>
          <w:sz w:val="22"/>
          <w:szCs w:val="22"/>
        </w:rPr>
      </w:pPr>
      <w:r w:rsidRPr="00253B1B">
        <w:rPr>
          <w:b/>
          <w:sz w:val="22"/>
          <w:szCs w:val="22"/>
        </w:rPr>
        <w:t>3.1.</w:t>
      </w:r>
      <w:r w:rsidR="00377285" w:rsidRPr="00253B1B">
        <w:rPr>
          <w:b/>
          <w:sz w:val="22"/>
          <w:szCs w:val="22"/>
        </w:rPr>
        <w:t>3</w:t>
      </w:r>
      <w:r w:rsidR="00FF2F42" w:rsidRPr="00253B1B">
        <w:rPr>
          <w:b/>
          <w:sz w:val="22"/>
          <w:szCs w:val="22"/>
        </w:rPr>
        <w:t>. Χρηματοοικονομικά περιουσιακά στοιχεία</w:t>
      </w:r>
    </w:p>
    <w:p w:rsidR="007135DF" w:rsidRPr="00253B1B" w:rsidRDefault="007135DF" w:rsidP="00B82D0D">
      <w:pPr>
        <w:shd w:val="clear" w:color="auto" w:fill="FFFFFF"/>
        <w:spacing w:after="200" w:line="276" w:lineRule="auto"/>
        <w:ind w:left="5" w:right="14" w:hanging="5"/>
        <w:jc w:val="both"/>
        <w:rPr>
          <w:b/>
          <w:sz w:val="22"/>
          <w:szCs w:val="22"/>
        </w:rPr>
      </w:pPr>
      <w:r w:rsidRPr="00253B1B">
        <w:rPr>
          <w:b/>
          <w:sz w:val="22"/>
          <w:szCs w:val="22"/>
        </w:rPr>
        <w:t>3.1.3.1. Συμμετοχές</w:t>
      </w:r>
    </w:p>
    <w:p w:rsidR="007762B5" w:rsidRPr="00253B1B" w:rsidRDefault="007762B5" w:rsidP="007762B5">
      <w:pPr>
        <w:shd w:val="clear" w:color="auto" w:fill="FFFFFF"/>
        <w:spacing w:after="200" w:line="276" w:lineRule="auto"/>
        <w:ind w:left="5" w:right="14" w:firstLine="562"/>
        <w:jc w:val="both"/>
        <w:rPr>
          <w:sz w:val="22"/>
          <w:szCs w:val="22"/>
        </w:rPr>
      </w:pPr>
      <w:r w:rsidRPr="00253B1B">
        <w:rPr>
          <w:sz w:val="22"/>
          <w:szCs w:val="22"/>
        </w:rPr>
        <w:t>Οι συμμετοχές παρακολουθούνται στο κόστος κτήσεως υποκείμενες σε έλεγχο απομειώσεως της αξίας τους όταν υπάρχουν ενδείξεις ή γεγονότα που υποδεικνύουν ότι η λογιστική αξία τους ενδέχεται να μην είναι ανακτήσιμη. Ζημίες απομειώσεως καταχωρίζονται όταν η λογιστική αξία των συμμετοχών υπερβαίνει την ανακτήσιμη αξία τους. Ως ανακτήσιμη αξία θεωρείται η αξία χρήσεως που είναι η παρούσα αξία των αναμενόμενων μελλοντικών χρηματοροών από την συμμετοχή, στην επόμενη πενταετία και της υπολειμματικής της αξίας στο τέλος της πενταετίας.</w:t>
      </w:r>
    </w:p>
    <w:p w:rsidR="007135DF" w:rsidRPr="00253B1B" w:rsidRDefault="007135DF" w:rsidP="00B82D0D">
      <w:pPr>
        <w:shd w:val="clear" w:color="auto" w:fill="FFFFFF"/>
        <w:spacing w:after="200" w:line="276" w:lineRule="auto"/>
        <w:ind w:left="5" w:right="14" w:hanging="5"/>
        <w:jc w:val="both"/>
        <w:rPr>
          <w:b/>
          <w:sz w:val="22"/>
          <w:szCs w:val="22"/>
        </w:rPr>
      </w:pPr>
      <w:r w:rsidRPr="00253B1B">
        <w:rPr>
          <w:b/>
          <w:sz w:val="22"/>
          <w:szCs w:val="22"/>
        </w:rPr>
        <w:t>3.1.3.2. Λοιπά χρηματοοικονομικά περιουσιακά στοιχεία</w:t>
      </w:r>
    </w:p>
    <w:p w:rsidR="007762B5" w:rsidRPr="00253B1B" w:rsidRDefault="007762B5" w:rsidP="007762B5">
      <w:pPr>
        <w:shd w:val="clear" w:color="auto" w:fill="FFFFFF"/>
        <w:spacing w:after="200" w:line="276" w:lineRule="auto"/>
        <w:ind w:left="5" w:right="14" w:firstLine="562"/>
        <w:jc w:val="both"/>
        <w:rPr>
          <w:b/>
          <w:sz w:val="22"/>
          <w:szCs w:val="22"/>
        </w:rPr>
      </w:pPr>
      <w:r w:rsidRPr="00253B1B">
        <w:rPr>
          <w:b/>
          <w:sz w:val="22"/>
          <w:szCs w:val="22"/>
        </w:rPr>
        <w:t>α) Αρχική καταχώριση</w:t>
      </w:r>
    </w:p>
    <w:p w:rsidR="007762B5" w:rsidRPr="00253B1B" w:rsidRDefault="007762B5" w:rsidP="007762B5">
      <w:pPr>
        <w:shd w:val="clear" w:color="auto" w:fill="FFFFFF"/>
        <w:spacing w:after="200" w:line="276" w:lineRule="auto"/>
        <w:ind w:left="5" w:right="14" w:firstLine="562"/>
        <w:jc w:val="both"/>
        <w:rPr>
          <w:sz w:val="22"/>
          <w:szCs w:val="22"/>
        </w:rPr>
      </w:pPr>
      <w:r w:rsidRPr="00253B1B">
        <w:rPr>
          <w:sz w:val="22"/>
          <w:szCs w:val="22"/>
        </w:rPr>
        <w:t>Όλα τα χρηματοοικονομικά περιουσιακά στοιχεία καταχωρίζονται αρχικά στο κόστος κτήσεως, δηλαδή στο κόστος που απαιτήθηκε για την απόκτηση τους. Το κόστος κτήσεως περιλαμβάνει το σύνολο των ταμειακών διαθεσίμων (ή ταμειακών ισοδύναμων) ή την εύλογη αξία άλλου ανταλλάγματος που διατέθηκε για την απόκτηση, πλέον δαπάνες αγοράς.</w:t>
      </w:r>
    </w:p>
    <w:p w:rsidR="007762B5" w:rsidRPr="00253B1B" w:rsidRDefault="007762B5" w:rsidP="007762B5">
      <w:pPr>
        <w:shd w:val="clear" w:color="auto" w:fill="FFFFFF"/>
        <w:spacing w:after="200" w:line="276" w:lineRule="auto"/>
        <w:ind w:left="5" w:right="14" w:firstLine="562"/>
        <w:jc w:val="both"/>
        <w:rPr>
          <w:b/>
          <w:sz w:val="22"/>
          <w:szCs w:val="22"/>
        </w:rPr>
      </w:pPr>
      <w:r w:rsidRPr="00253B1B">
        <w:rPr>
          <w:b/>
          <w:sz w:val="22"/>
          <w:szCs w:val="22"/>
        </w:rPr>
        <w:t>β) Μεταγενέστερη αποτίμηση</w:t>
      </w:r>
    </w:p>
    <w:p w:rsidR="007762B5" w:rsidRPr="00253B1B" w:rsidRDefault="007762B5" w:rsidP="007762B5">
      <w:pPr>
        <w:shd w:val="clear" w:color="auto" w:fill="FFFFFF"/>
        <w:spacing w:after="200" w:line="276" w:lineRule="auto"/>
        <w:ind w:left="5" w:right="14" w:firstLine="562"/>
        <w:jc w:val="both"/>
        <w:rPr>
          <w:sz w:val="22"/>
          <w:szCs w:val="22"/>
        </w:rPr>
      </w:pPr>
      <w:r w:rsidRPr="00253B1B">
        <w:rPr>
          <w:sz w:val="22"/>
          <w:szCs w:val="22"/>
        </w:rPr>
        <w:t xml:space="preserve">Μεταγενέστερα της αρχικής καταχωρίσεως, τα χρηματοοικονομικά περιουσιακά στοιχεία αποτιμούνται στο κόστος κτήσεώς τους (ονομαστικά ποσά) μείον τυχόν ζημίες απομειώσεως, εκτός από τα έντοκα </w:t>
      </w:r>
      <w:r w:rsidRPr="00253B1B">
        <w:rPr>
          <w:sz w:val="22"/>
          <w:szCs w:val="22"/>
        </w:rPr>
        <w:lastRenderedPageBreak/>
        <w:t xml:space="preserve">χρηματοοικονομικά περιουσιακά στοιχεία, τα οποία, όταν τα ποσά, ο χρόνος λήξεώς τους ή το επιτόκιο είναι σημαντικά, αποτιμούνται στο αποσβέσιμο κόστος με τη μέθοδο του πραγματικού επιτοκίου (ή με τη σταθερή μέθοδο).  </w:t>
      </w:r>
    </w:p>
    <w:p w:rsidR="007762B5" w:rsidRPr="00253B1B" w:rsidRDefault="007762B5" w:rsidP="003506D2">
      <w:pPr>
        <w:shd w:val="clear" w:color="auto" w:fill="FFFFFF"/>
        <w:spacing w:after="200" w:line="252" w:lineRule="auto"/>
        <w:ind w:left="5" w:right="14" w:firstLine="562"/>
        <w:jc w:val="both"/>
        <w:rPr>
          <w:sz w:val="22"/>
          <w:szCs w:val="22"/>
        </w:rPr>
      </w:pPr>
      <w:r w:rsidRPr="00253B1B">
        <w:rPr>
          <w:sz w:val="22"/>
          <w:szCs w:val="22"/>
        </w:rPr>
        <w:t>Ζημία απομειώσεως προκύπτει όταν η λογιστική αξία του στοιχείου είναι μεγαλύτερη από το ποσό που η οντότητα εκτιμά ότι θα ανακτήσει από το στοιχείο αυτό.</w:t>
      </w:r>
    </w:p>
    <w:p w:rsidR="007762B5" w:rsidRPr="00253B1B" w:rsidRDefault="007762B5" w:rsidP="003506D2">
      <w:pPr>
        <w:shd w:val="clear" w:color="auto" w:fill="FFFFFF"/>
        <w:spacing w:after="200" w:line="252" w:lineRule="auto"/>
        <w:ind w:left="5" w:right="14" w:firstLine="562"/>
        <w:jc w:val="both"/>
        <w:rPr>
          <w:sz w:val="22"/>
          <w:szCs w:val="22"/>
        </w:rPr>
      </w:pPr>
      <w:r w:rsidRPr="00253B1B">
        <w:rPr>
          <w:sz w:val="22"/>
          <w:szCs w:val="22"/>
        </w:rPr>
        <w:t>﻿Το ποσό που η οντότητα εκτιμά ότι θα ανακτήσει από ένα χρηματοοικονομικό περιουσιακό στοιχείο είναι το μεγαλύτερο από:</w:t>
      </w:r>
    </w:p>
    <w:p w:rsidR="007762B5" w:rsidRPr="00253B1B" w:rsidRDefault="007762B5" w:rsidP="003506D2">
      <w:pPr>
        <w:numPr>
          <w:ilvl w:val="0"/>
          <w:numId w:val="2"/>
        </w:numPr>
        <w:shd w:val="clear" w:color="auto" w:fill="FFFFFF"/>
        <w:spacing w:after="200" w:line="252" w:lineRule="auto"/>
        <w:ind w:left="993" w:right="14" w:hanging="426"/>
        <w:jc w:val="both"/>
        <w:rPr>
          <w:sz w:val="22"/>
          <w:szCs w:val="22"/>
        </w:rPr>
      </w:pPr>
      <w:r w:rsidRPr="00253B1B">
        <w:rPr>
          <w:sz w:val="22"/>
          <w:szCs w:val="22"/>
        </w:rPr>
        <w:t>Την παρούσα αξία του ποσού που εκτιμάται ότι θα ληφθεί από το περιουσιακό στοιχείο, υπολογιζόμενη με τη χρήση του αρχικού πραγματικού επιτοκίου.</w:t>
      </w:r>
    </w:p>
    <w:p w:rsidR="007762B5" w:rsidRPr="00253B1B" w:rsidRDefault="007762B5" w:rsidP="003506D2">
      <w:pPr>
        <w:numPr>
          <w:ilvl w:val="0"/>
          <w:numId w:val="2"/>
        </w:numPr>
        <w:shd w:val="clear" w:color="auto" w:fill="FFFFFF"/>
        <w:spacing w:after="200" w:line="252" w:lineRule="auto"/>
        <w:ind w:left="993" w:right="14" w:hanging="426"/>
        <w:jc w:val="both"/>
        <w:rPr>
          <w:sz w:val="22"/>
          <w:szCs w:val="22"/>
        </w:rPr>
      </w:pPr>
      <w:r w:rsidRPr="00253B1B">
        <w:rPr>
          <w:sz w:val="22"/>
          <w:szCs w:val="22"/>
        </w:rPr>
        <w:t>Την εύλογη αξία του στοιχείου, μειωμένη με το απαιτούμενο κόστος πωλήσεως.</w:t>
      </w:r>
    </w:p>
    <w:p w:rsidR="007762B5" w:rsidRPr="00253B1B" w:rsidRDefault="007762B5" w:rsidP="003506D2">
      <w:pPr>
        <w:shd w:val="clear" w:color="auto" w:fill="FFFFFF"/>
        <w:spacing w:after="200" w:line="252" w:lineRule="auto"/>
        <w:ind w:left="5" w:right="14" w:firstLine="562"/>
        <w:jc w:val="both"/>
        <w:rPr>
          <w:sz w:val="22"/>
          <w:szCs w:val="22"/>
        </w:rPr>
      </w:pPr>
      <w:r w:rsidRPr="00253B1B">
        <w:rPr>
          <w:sz w:val="22"/>
          <w:szCs w:val="22"/>
        </w:rPr>
        <w:t xml:space="preserve">﻿Οι ζημίες απομειώσεως καταχωρίζονται στην κατάσταση αποτελεσμάτων και αναστρέφονται ως κέρδη σε αυτή, όταν οι συνθήκες που τις προκάλεσαν πάψουν να υφίστανται. Αναστροφή γίνεται μέχρι της αξίας που θα είχε το στοιχείο, εάν δεν είχε καταχωριστεί ζημία απομειώσεως. </w:t>
      </w:r>
    </w:p>
    <w:p w:rsidR="007762B5" w:rsidRPr="00253B1B" w:rsidRDefault="007762B5" w:rsidP="003506D2">
      <w:pPr>
        <w:shd w:val="clear" w:color="auto" w:fill="FFFFFF"/>
        <w:spacing w:after="200" w:line="252" w:lineRule="auto"/>
        <w:ind w:left="5" w:right="14" w:firstLine="562"/>
        <w:jc w:val="both"/>
        <w:rPr>
          <w:sz w:val="22"/>
          <w:szCs w:val="22"/>
        </w:rPr>
      </w:pPr>
      <w:r w:rsidRPr="00253B1B">
        <w:rPr>
          <w:sz w:val="22"/>
          <w:szCs w:val="22"/>
        </w:rPr>
        <w:t xml:space="preserve">Τα δάνεια και οι απαιτήσεις που εκφράζονται σε ξένο νόμισμα αποτιμούνται με την ισοτιμία του ξένου νομίσματος κατά την ημερομηνία του ισολογισμού. Οι σχετικές συναλλαγματικές διαφορές καταχωρίζονται στα αποτελέσματα. </w:t>
      </w:r>
    </w:p>
    <w:p w:rsidR="007762B5" w:rsidRPr="00253B1B" w:rsidRDefault="007762B5" w:rsidP="003506D2">
      <w:pPr>
        <w:shd w:val="clear" w:color="auto" w:fill="FFFFFF"/>
        <w:spacing w:after="160" w:line="252" w:lineRule="auto"/>
        <w:ind w:left="5" w:right="11" w:firstLine="562"/>
        <w:jc w:val="both"/>
        <w:rPr>
          <w:b/>
          <w:sz w:val="22"/>
          <w:szCs w:val="22"/>
        </w:rPr>
      </w:pPr>
      <w:r w:rsidRPr="00253B1B">
        <w:rPr>
          <w:b/>
          <w:sz w:val="22"/>
          <w:szCs w:val="22"/>
        </w:rPr>
        <w:t>γ) Διαγραφή</w:t>
      </w:r>
    </w:p>
    <w:p w:rsidR="007762B5" w:rsidRPr="00253B1B" w:rsidRDefault="007762B5" w:rsidP="003506D2">
      <w:pPr>
        <w:shd w:val="clear" w:color="auto" w:fill="FFFFFF"/>
        <w:spacing w:after="160" w:line="252" w:lineRule="auto"/>
        <w:ind w:left="5" w:right="11" w:firstLine="562"/>
        <w:jc w:val="both"/>
        <w:rPr>
          <w:sz w:val="22"/>
          <w:szCs w:val="22"/>
        </w:rPr>
      </w:pPr>
      <w:r w:rsidRPr="00253B1B">
        <w:rPr>
          <w:sz w:val="22"/>
          <w:szCs w:val="22"/>
        </w:rPr>
        <w:t>Ένα χρηματοοικονομικό περιουσιακό στοιχείο διαγράφεται όταν και μόνον όταν εκπνεύσουν τα συμβατικά δικαιώματα επί των ταμιακών ροών του στοιχείου ή μεταβιβαστούν ουσιαστικά όλοι οι κίνδυνοι και τα οφέλη που προκύπτουν από την κυριότητα του στοιχείου αυτού.</w:t>
      </w:r>
    </w:p>
    <w:p w:rsidR="006B570B" w:rsidRPr="00253B1B" w:rsidRDefault="006B570B" w:rsidP="003506D2">
      <w:pPr>
        <w:shd w:val="clear" w:color="auto" w:fill="FFFFFF"/>
        <w:spacing w:after="160" w:line="252" w:lineRule="auto"/>
        <w:ind w:left="5" w:right="11" w:hanging="5"/>
        <w:jc w:val="both"/>
        <w:rPr>
          <w:b/>
          <w:sz w:val="22"/>
          <w:szCs w:val="22"/>
        </w:rPr>
      </w:pPr>
      <w:r w:rsidRPr="00253B1B">
        <w:rPr>
          <w:b/>
          <w:sz w:val="22"/>
          <w:szCs w:val="22"/>
        </w:rPr>
        <w:t>3.1.4. Φόροι εισοδήματος</w:t>
      </w:r>
    </w:p>
    <w:p w:rsidR="006B570B" w:rsidRPr="00253B1B" w:rsidRDefault="006B570B" w:rsidP="003506D2">
      <w:pPr>
        <w:shd w:val="clear" w:color="auto" w:fill="FFFFFF"/>
        <w:spacing w:after="160" w:line="252" w:lineRule="auto"/>
        <w:ind w:left="5" w:right="11" w:hanging="5"/>
        <w:jc w:val="both"/>
        <w:rPr>
          <w:b/>
          <w:sz w:val="22"/>
          <w:szCs w:val="22"/>
        </w:rPr>
      </w:pPr>
      <w:r w:rsidRPr="00253B1B">
        <w:rPr>
          <w:b/>
          <w:sz w:val="22"/>
          <w:szCs w:val="22"/>
        </w:rPr>
        <w:t>3.1.4.1. Τρέχων φόρος</w:t>
      </w:r>
    </w:p>
    <w:p w:rsidR="001C7C16" w:rsidRPr="00253B1B" w:rsidRDefault="001C7C16" w:rsidP="003506D2">
      <w:pPr>
        <w:shd w:val="clear" w:color="auto" w:fill="FFFFFF"/>
        <w:spacing w:after="160" w:line="252" w:lineRule="auto"/>
        <w:ind w:left="5" w:right="11" w:firstLine="562"/>
        <w:jc w:val="both"/>
        <w:rPr>
          <w:sz w:val="22"/>
          <w:szCs w:val="22"/>
        </w:rPr>
      </w:pPr>
      <w:r w:rsidRPr="00253B1B">
        <w:rPr>
          <w:sz w:val="22"/>
          <w:szCs w:val="22"/>
        </w:rPr>
        <w:t>Ο τρέχων φόρος εισοδήματος περιλαμβάνει:</w:t>
      </w:r>
    </w:p>
    <w:p w:rsidR="001C7C16" w:rsidRPr="00253B1B" w:rsidRDefault="001C7C16" w:rsidP="003506D2">
      <w:pPr>
        <w:numPr>
          <w:ilvl w:val="0"/>
          <w:numId w:val="1"/>
        </w:numPr>
        <w:shd w:val="clear" w:color="auto" w:fill="FFFFFF"/>
        <w:spacing w:after="160" w:line="252" w:lineRule="auto"/>
        <w:ind w:left="993" w:right="11" w:hanging="426"/>
        <w:jc w:val="both"/>
        <w:rPr>
          <w:sz w:val="22"/>
          <w:szCs w:val="22"/>
        </w:rPr>
      </w:pPr>
      <w:r w:rsidRPr="00253B1B">
        <w:rPr>
          <w:sz w:val="22"/>
          <w:szCs w:val="22"/>
        </w:rPr>
        <w:t>Τον φόρο εισοδήματος που προκύπτει με βάση τις διατάξεις της εκάστοτε ισχύουσας φορολογικής νομοθεσίας.</w:t>
      </w:r>
    </w:p>
    <w:p w:rsidR="001C7C16" w:rsidRPr="00253B1B" w:rsidRDefault="001C7C16" w:rsidP="003506D2">
      <w:pPr>
        <w:numPr>
          <w:ilvl w:val="0"/>
          <w:numId w:val="1"/>
        </w:numPr>
        <w:shd w:val="clear" w:color="auto" w:fill="FFFFFF"/>
        <w:spacing w:after="160" w:line="252" w:lineRule="auto"/>
        <w:ind w:left="993" w:right="11" w:hanging="426"/>
        <w:jc w:val="both"/>
        <w:rPr>
          <w:sz w:val="22"/>
          <w:szCs w:val="22"/>
        </w:rPr>
      </w:pPr>
      <w:r w:rsidRPr="00253B1B">
        <w:rPr>
          <w:sz w:val="22"/>
          <w:szCs w:val="22"/>
        </w:rPr>
        <w:t xml:space="preserve">Τον φόρο εισοδήματος και τις προσαυξήσεις που προκύπτουν από τον φορολογικό έλεγχο. </w:t>
      </w:r>
    </w:p>
    <w:p w:rsidR="001C7C16" w:rsidRPr="00253B1B" w:rsidRDefault="001C7C16" w:rsidP="003506D2">
      <w:pPr>
        <w:shd w:val="clear" w:color="auto" w:fill="FFFFFF"/>
        <w:spacing w:after="160" w:line="252" w:lineRule="auto"/>
        <w:ind w:left="993" w:right="11"/>
        <w:jc w:val="both"/>
        <w:rPr>
          <w:sz w:val="22"/>
          <w:szCs w:val="22"/>
        </w:rPr>
      </w:pPr>
      <w:r w:rsidRPr="00253B1B">
        <w:rPr>
          <w:sz w:val="22"/>
          <w:szCs w:val="22"/>
        </w:rPr>
        <w:t>Οι διαφορές του φορολογικού ελέγχου, καταχωρίζονται στην κατάσταση αποτελεσμάτων της χρήσεως, κατά την οποία βεβαιώνονται από τις φορολογικές αρχές και γίνονται αποδεκτές από την Εταιρεία.</w:t>
      </w:r>
    </w:p>
    <w:p w:rsidR="006D1CE9" w:rsidRPr="00253B1B" w:rsidRDefault="006D1CE9" w:rsidP="003506D2">
      <w:pPr>
        <w:shd w:val="clear" w:color="auto" w:fill="FFFFFF"/>
        <w:spacing w:after="160" w:line="252" w:lineRule="auto"/>
        <w:ind w:right="11"/>
        <w:jc w:val="both"/>
        <w:rPr>
          <w:b/>
          <w:sz w:val="22"/>
          <w:szCs w:val="22"/>
        </w:rPr>
      </w:pPr>
      <w:r w:rsidRPr="00253B1B">
        <w:rPr>
          <w:b/>
          <w:sz w:val="22"/>
          <w:szCs w:val="22"/>
        </w:rPr>
        <w:t>3.1.4.2. Αναβαλλόμενοι φόροι</w:t>
      </w:r>
    </w:p>
    <w:p w:rsidR="006D1CE9" w:rsidRPr="00253B1B" w:rsidRDefault="006D1CE9" w:rsidP="003506D2">
      <w:pPr>
        <w:shd w:val="clear" w:color="auto" w:fill="FFFFFF"/>
        <w:spacing w:after="200" w:line="252" w:lineRule="auto"/>
        <w:ind w:left="5" w:right="14" w:firstLine="562"/>
        <w:jc w:val="both"/>
        <w:rPr>
          <w:rStyle w:val="FontStyle60"/>
        </w:rPr>
      </w:pPr>
      <w:r w:rsidRPr="00253B1B">
        <w:rPr>
          <w:rStyle w:val="FontStyle60"/>
        </w:rPr>
        <w:t xml:space="preserve">Αναβαλλόμενοι φόροι προκύπτουν όταν υπάρχουν προσωρινές (αναστρέψιμες) διαφορές μεταξύ λογιστικής αξίας και φορολογικής βάσεως στοιχείων του ισολογισμού. </w:t>
      </w:r>
    </w:p>
    <w:p w:rsidR="006D1CE9" w:rsidRPr="00253B1B" w:rsidRDefault="006D1CE9" w:rsidP="003506D2">
      <w:pPr>
        <w:shd w:val="clear" w:color="auto" w:fill="FFFFFF"/>
        <w:spacing w:after="200" w:line="252" w:lineRule="auto"/>
        <w:ind w:left="5" w:right="14" w:firstLine="562"/>
        <w:jc w:val="both"/>
        <w:rPr>
          <w:sz w:val="22"/>
          <w:szCs w:val="22"/>
        </w:rPr>
      </w:pPr>
      <w:r w:rsidRPr="00253B1B">
        <w:rPr>
          <w:sz w:val="22"/>
          <w:szCs w:val="22"/>
        </w:rPr>
        <w:t>Η εταιρεία δεν έχει επιλέξει την καταχώριση αναβαλλόμενων φόρων.</w:t>
      </w:r>
    </w:p>
    <w:p w:rsidR="00377285" w:rsidRPr="00253B1B" w:rsidRDefault="00377285" w:rsidP="003506D2">
      <w:pPr>
        <w:shd w:val="clear" w:color="auto" w:fill="FFFFFF"/>
        <w:spacing w:after="200" w:line="252" w:lineRule="auto"/>
        <w:ind w:left="5" w:right="14" w:hanging="5"/>
        <w:jc w:val="both"/>
        <w:rPr>
          <w:b/>
          <w:sz w:val="22"/>
          <w:szCs w:val="22"/>
        </w:rPr>
      </w:pPr>
      <w:r w:rsidRPr="00253B1B">
        <w:rPr>
          <w:b/>
          <w:sz w:val="22"/>
          <w:szCs w:val="22"/>
        </w:rPr>
        <w:t>3.1.5. Αποθέματα</w:t>
      </w:r>
    </w:p>
    <w:p w:rsidR="006D1CE9" w:rsidRPr="00253B1B" w:rsidRDefault="006D1CE9" w:rsidP="003506D2">
      <w:pPr>
        <w:shd w:val="clear" w:color="auto" w:fill="FFFFFF"/>
        <w:spacing w:after="200" w:line="252" w:lineRule="auto"/>
        <w:ind w:left="5" w:right="14" w:firstLine="562"/>
        <w:jc w:val="both"/>
        <w:rPr>
          <w:b/>
          <w:sz w:val="22"/>
          <w:szCs w:val="22"/>
        </w:rPr>
      </w:pPr>
      <w:r w:rsidRPr="00253B1B">
        <w:rPr>
          <w:b/>
          <w:sz w:val="22"/>
          <w:szCs w:val="22"/>
        </w:rPr>
        <w:t>α) Αρχική καταχώριση</w:t>
      </w:r>
    </w:p>
    <w:p w:rsidR="006D1CE9" w:rsidRPr="00253B1B" w:rsidRDefault="006D1CE9" w:rsidP="003506D2">
      <w:pPr>
        <w:shd w:val="clear" w:color="auto" w:fill="FFFFFF"/>
        <w:spacing w:after="200" w:line="252" w:lineRule="auto"/>
        <w:ind w:left="5" w:right="14" w:firstLine="562"/>
        <w:jc w:val="both"/>
        <w:rPr>
          <w:sz w:val="22"/>
          <w:szCs w:val="22"/>
        </w:rPr>
      </w:pPr>
      <w:r w:rsidRPr="00253B1B">
        <w:rPr>
          <w:sz w:val="22"/>
          <w:szCs w:val="22"/>
        </w:rPr>
        <w:t xml:space="preserve">Τα αποθέματα καταχωρίζονται αρχικά στο κόστος κτήσεως, το οποίο περιλαμβάνει κάθε δαπάνη που απαιτείται για να έλθει κάθε στοιχείο των αποθεμάτων στην παρούσα κατάσταση ή θέση ή επιδιωκόμενη χρήση. </w:t>
      </w:r>
    </w:p>
    <w:p w:rsidR="006D1CE9" w:rsidRPr="00253B1B" w:rsidRDefault="006D1CE9" w:rsidP="003506D2">
      <w:pPr>
        <w:shd w:val="clear" w:color="auto" w:fill="FFFFFF"/>
        <w:spacing w:after="200" w:line="276" w:lineRule="auto"/>
        <w:ind w:left="5" w:right="14" w:firstLine="562"/>
        <w:jc w:val="both"/>
        <w:rPr>
          <w:sz w:val="22"/>
          <w:szCs w:val="22"/>
        </w:rPr>
      </w:pPr>
      <w:r w:rsidRPr="00253B1B">
        <w:rPr>
          <w:sz w:val="22"/>
          <w:szCs w:val="22"/>
        </w:rPr>
        <w:lastRenderedPageBreak/>
        <w:t>Ειδικότερα το κόστος των ιδιοπαραγόμενων αποθεμάτων περιλαμβάνει το κόστος πρώτων υλών, αναλώσιμων υλικών, εργασίας και άλλο κόστος που σχετίζεται άμεσα με τα εν λόγω στοιχεία. Επιπλέον περιλαμβάνει μια εύλογη αναλογία σταθερών και μεταβλητών εξόδων που σχετίζονται έμμεσα με το ιδιοπαραγόμενο στοιχείο, στο βαθμό που τα ποσά αυτά αναφέρονται στην περίοδο παραγωγής. Η εταιρεία δεν επιβαρύνει το κόστος των ιδιοπαραγόμενων αποθεμάτων μακράς περιόδου παραγωγής ή ωριμάνσεως με τόκους εντόκων υποχρεώσεων.</w:t>
      </w:r>
    </w:p>
    <w:p w:rsidR="006D1CE9" w:rsidRPr="00253B1B" w:rsidRDefault="006D1CE9" w:rsidP="003506D2">
      <w:pPr>
        <w:shd w:val="clear" w:color="auto" w:fill="FFFFFF"/>
        <w:spacing w:after="200" w:line="276" w:lineRule="auto"/>
        <w:ind w:left="5" w:right="14" w:firstLine="562"/>
        <w:jc w:val="both"/>
        <w:rPr>
          <w:b/>
          <w:sz w:val="22"/>
          <w:szCs w:val="22"/>
        </w:rPr>
      </w:pPr>
      <w:r w:rsidRPr="00253B1B">
        <w:rPr>
          <w:b/>
          <w:sz w:val="22"/>
          <w:szCs w:val="22"/>
        </w:rPr>
        <w:t>β) Μεταγενέστερη αποτίμηση</w:t>
      </w:r>
    </w:p>
    <w:p w:rsidR="006D1CE9" w:rsidRPr="00253B1B" w:rsidRDefault="006D1CE9" w:rsidP="003506D2">
      <w:pPr>
        <w:shd w:val="clear" w:color="auto" w:fill="FFFFFF"/>
        <w:spacing w:after="200" w:line="276" w:lineRule="auto"/>
        <w:ind w:left="5" w:right="14" w:firstLine="562"/>
        <w:jc w:val="both"/>
        <w:rPr>
          <w:sz w:val="22"/>
          <w:szCs w:val="22"/>
        </w:rPr>
      </w:pPr>
      <w:r w:rsidRPr="00253B1B">
        <w:rPr>
          <w:sz w:val="22"/>
          <w:szCs w:val="22"/>
        </w:rPr>
        <w:t>Μεταγενέστερα της αρχικής καταχωρίσεως, τα αποθέματα αποτιμούνται στην κατ' είδος χαμηλότερη τιμή μεταξύ του κόστους κτήσεως και της καθαρής ρευστοποιήσιμης αξίας τους. Το κόστος κτήσεως προσδιορίζεται με τη μέθοδο της μέσης σταθμικής τιμής. Στην περίπτωση αποτιμήσεως στην καθαρή ρευστοποιήσιμη αξία, η ζημία απομειώσεως καταχωρίζεται ως κόστος πωληθέντων, εκτός αν είναι σημαντική, οπότε ενσωματώνεται στο κονδύλι «απομειώσεις περιουσιακών στοιχείων».</w:t>
      </w:r>
    </w:p>
    <w:p w:rsidR="00FF2F42" w:rsidRPr="00253B1B" w:rsidRDefault="00713F0B" w:rsidP="003506D2">
      <w:pPr>
        <w:shd w:val="clear" w:color="auto" w:fill="FFFFFF"/>
        <w:spacing w:after="200" w:line="276" w:lineRule="auto"/>
        <w:ind w:left="5" w:right="14" w:hanging="5"/>
        <w:jc w:val="both"/>
        <w:rPr>
          <w:b/>
          <w:sz w:val="22"/>
          <w:szCs w:val="22"/>
        </w:rPr>
      </w:pPr>
      <w:r w:rsidRPr="00253B1B">
        <w:rPr>
          <w:b/>
          <w:sz w:val="22"/>
          <w:szCs w:val="22"/>
        </w:rPr>
        <w:t>3.1.</w:t>
      </w:r>
      <w:r w:rsidR="00FF52A7" w:rsidRPr="00253B1B">
        <w:rPr>
          <w:b/>
          <w:sz w:val="22"/>
          <w:szCs w:val="22"/>
        </w:rPr>
        <w:t>6</w:t>
      </w:r>
      <w:r w:rsidR="00FF2F42" w:rsidRPr="00253B1B">
        <w:rPr>
          <w:b/>
          <w:sz w:val="22"/>
          <w:szCs w:val="22"/>
        </w:rPr>
        <w:t>. Προκαταβολές και λοιπά μη χρηματοοικονομικά περιουσιακά στοιχεία</w:t>
      </w:r>
    </w:p>
    <w:p w:rsidR="00F808D4" w:rsidRPr="00253B1B" w:rsidRDefault="00F808D4" w:rsidP="003506D2">
      <w:pPr>
        <w:shd w:val="clear" w:color="auto" w:fill="FFFFFF"/>
        <w:spacing w:after="200" w:line="276" w:lineRule="auto"/>
        <w:ind w:left="5" w:right="14" w:firstLine="562"/>
        <w:jc w:val="both"/>
        <w:rPr>
          <w:sz w:val="22"/>
          <w:szCs w:val="22"/>
        </w:rPr>
      </w:pPr>
      <w:r w:rsidRPr="00253B1B">
        <w:rPr>
          <w:sz w:val="22"/>
          <w:szCs w:val="22"/>
        </w:rPr>
        <w:t>Οι προκαταβολές δαπανών καταχωρίζονται αρχικά στο κόστος κτήσεως (καταβαλλόμενα ποσά) και  αποτιμούνται μεταγενέστερα στο αρχικό κόστος κτήσεως, μείον τα χρησιμοποιηθέντα ποσά βάσει της αρχής του δουλευμένου και τυχόν ζημίες απομειώσεως. Η απομείωση των προκαταβολών δαπανών αναφέρεται στην περίπτωση στην οποία ο λήπτης του σχετικού ποσού δεν είναι σε θέση ούτε να εκπληρώσει την δέσμευση που ανέλαβε ούτε να επιστρέψει το υπόλοιπο του ποσού.</w:t>
      </w:r>
    </w:p>
    <w:p w:rsidR="00F808D4" w:rsidRPr="00253B1B" w:rsidRDefault="00F808D4" w:rsidP="003506D2">
      <w:pPr>
        <w:shd w:val="clear" w:color="auto" w:fill="FFFFFF"/>
        <w:spacing w:after="200" w:line="276" w:lineRule="auto"/>
        <w:ind w:left="5" w:right="14" w:firstLine="562"/>
        <w:jc w:val="both"/>
        <w:rPr>
          <w:sz w:val="22"/>
          <w:szCs w:val="22"/>
        </w:rPr>
      </w:pPr>
      <w:r w:rsidRPr="00253B1B">
        <w:rPr>
          <w:sz w:val="22"/>
          <w:szCs w:val="22"/>
        </w:rPr>
        <w:t>﻿Τα λοιπά μη χρηματοοικονομικά περιουσιακά στοιχεία καταχωρίζονται αρχικά στο κόστος κτήσεως και αποτιμούνται μεταγενέστερα στη χαμηλότερη αξία μεταξύ κόστους κτήσεως και ανακτήσιμης αξίας, δηλαδή του ποσού που αναμένεται να ληφθεί.</w:t>
      </w:r>
    </w:p>
    <w:p w:rsidR="00FF2F42" w:rsidRPr="00253B1B" w:rsidRDefault="00713F0B" w:rsidP="003506D2">
      <w:pPr>
        <w:shd w:val="clear" w:color="auto" w:fill="FFFFFF"/>
        <w:spacing w:after="200" w:line="276" w:lineRule="auto"/>
        <w:ind w:left="5" w:right="14" w:hanging="5"/>
        <w:jc w:val="both"/>
        <w:rPr>
          <w:b/>
          <w:sz w:val="22"/>
          <w:szCs w:val="22"/>
        </w:rPr>
      </w:pPr>
      <w:r w:rsidRPr="00253B1B">
        <w:rPr>
          <w:b/>
          <w:sz w:val="22"/>
          <w:szCs w:val="22"/>
        </w:rPr>
        <w:t>3.1.</w:t>
      </w:r>
      <w:r w:rsidR="0048530C" w:rsidRPr="00253B1B">
        <w:rPr>
          <w:b/>
          <w:sz w:val="22"/>
          <w:szCs w:val="22"/>
        </w:rPr>
        <w:t>7</w:t>
      </w:r>
      <w:r w:rsidR="00FF2F42" w:rsidRPr="00253B1B">
        <w:rPr>
          <w:b/>
          <w:sz w:val="22"/>
          <w:szCs w:val="22"/>
        </w:rPr>
        <w:t>. Χρηματοοικονομικές υποχρεώσεις</w:t>
      </w:r>
    </w:p>
    <w:p w:rsidR="00004189" w:rsidRPr="00253B1B" w:rsidRDefault="00004189" w:rsidP="003506D2">
      <w:pPr>
        <w:shd w:val="clear" w:color="auto" w:fill="FFFFFF"/>
        <w:spacing w:after="200" w:line="276" w:lineRule="auto"/>
        <w:ind w:left="5" w:right="14" w:firstLine="562"/>
        <w:jc w:val="both"/>
        <w:rPr>
          <w:b/>
          <w:sz w:val="22"/>
          <w:szCs w:val="22"/>
        </w:rPr>
      </w:pPr>
      <w:r w:rsidRPr="00253B1B">
        <w:rPr>
          <w:b/>
          <w:sz w:val="22"/>
          <w:szCs w:val="22"/>
        </w:rPr>
        <w:t>α) Αρχική καταχώριση και μεταγενέστερη αποτίμηση</w:t>
      </w:r>
    </w:p>
    <w:p w:rsidR="00004189" w:rsidRPr="00253B1B" w:rsidRDefault="00004189" w:rsidP="003506D2">
      <w:pPr>
        <w:shd w:val="clear" w:color="auto" w:fill="FFFFFF"/>
        <w:spacing w:after="200" w:line="276" w:lineRule="auto"/>
        <w:ind w:left="5" w:right="14" w:firstLine="562"/>
        <w:jc w:val="both"/>
        <w:rPr>
          <w:sz w:val="22"/>
          <w:szCs w:val="22"/>
        </w:rPr>
      </w:pPr>
      <w:r w:rsidRPr="00253B1B">
        <w:rPr>
          <w:sz w:val="22"/>
          <w:szCs w:val="22"/>
        </w:rPr>
        <w:t>Οι χρηματοοικονομικές υποχρεώσεις, τόσο κατά την αρχική καταχώριση, όσο και μεταγενέστερα, αποτιμούνται στα ονομαστικά ποσά τους, εκτός από τις μακροπρόθεσμης λήξεως, οι οποίες αποτιμούνται στο αποσβέσιμο κόστος με τη με τη σταθερή μέθοδο. Οι χρηματοοικονομικές υποχρεώσεις που εκφράζονται σε ξένο νόμισμα αποτιμούνται με την ισοτιμία του ξένου νομίσματος κατά την ημερομηνία του ισολογισμού. Οι σχετικές συναλλαγματικές διαφορές καταχωρίζονται στα αποτελέσματα.</w:t>
      </w:r>
    </w:p>
    <w:p w:rsidR="00004189" w:rsidRPr="00253B1B" w:rsidRDefault="00004189" w:rsidP="003506D2">
      <w:pPr>
        <w:shd w:val="clear" w:color="auto" w:fill="FFFFFF"/>
        <w:spacing w:after="200" w:line="276" w:lineRule="auto"/>
        <w:ind w:left="5" w:right="14" w:firstLine="562"/>
        <w:jc w:val="both"/>
        <w:rPr>
          <w:b/>
          <w:sz w:val="22"/>
          <w:szCs w:val="22"/>
        </w:rPr>
      </w:pPr>
      <w:r w:rsidRPr="00253B1B">
        <w:rPr>
          <w:b/>
          <w:sz w:val="22"/>
          <w:szCs w:val="22"/>
        </w:rPr>
        <w:t>β) Διαγραφή</w:t>
      </w:r>
    </w:p>
    <w:p w:rsidR="00004189" w:rsidRPr="00253B1B" w:rsidRDefault="00004189" w:rsidP="003506D2">
      <w:pPr>
        <w:shd w:val="clear" w:color="auto" w:fill="FFFFFF"/>
        <w:spacing w:after="200" w:line="276" w:lineRule="auto"/>
        <w:ind w:left="5" w:right="14" w:firstLine="562"/>
        <w:jc w:val="both"/>
        <w:rPr>
          <w:sz w:val="22"/>
          <w:szCs w:val="22"/>
        </w:rPr>
      </w:pPr>
      <w:r w:rsidRPr="00253B1B">
        <w:rPr>
          <w:sz w:val="22"/>
          <w:szCs w:val="22"/>
        </w:rPr>
        <w:t xml:space="preserve">Μια χρηματοοικονομική υποχρέωση διαγράφεται όταν και μόνον όταν η συμβατική δέσμευση εκπληρώνεται, ακυρώνεται ή εκπνέει, δηλαδή όταν η συμβατική δέσμευση που την δημιούργησε δεν υφίσταται πλέον. </w:t>
      </w:r>
    </w:p>
    <w:p w:rsidR="00AB767D" w:rsidRPr="00253B1B" w:rsidRDefault="00AB767D" w:rsidP="003506D2">
      <w:pPr>
        <w:shd w:val="clear" w:color="auto" w:fill="FFFFFF"/>
        <w:spacing w:after="200" w:line="276" w:lineRule="auto"/>
        <w:ind w:left="5" w:right="14" w:hanging="5"/>
        <w:jc w:val="both"/>
        <w:rPr>
          <w:b/>
          <w:sz w:val="22"/>
          <w:szCs w:val="22"/>
        </w:rPr>
      </w:pPr>
      <w:r w:rsidRPr="00253B1B">
        <w:rPr>
          <w:b/>
          <w:sz w:val="22"/>
          <w:szCs w:val="22"/>
        </w:rPr>
        <w:t>3.1.8. Μη χρηματοοικονομικές υποχρεώσεις</w:t>
      </w:r>
    </w:p>
    <w:p w:rsidR="00EE246B" w:rsidRPr="00253B1B" w:rsidRDefault="00EE246B" w:rsidP="003506D2">
      <w:pPr>
        <w:shd w:val="clear" w:color="auto" w:fill="FFFFFF"/>
        <w:spacing w:after="200" w:line="276" w:lineRule="auto"/>
        <w:ind w:left="5" w:right="14" w:firstLine="562"/>
        <w:jc w:val="both"/>
        <w:rPr>
          <w:b/>
          <w:sz w:val="22"/>
          <w:szCs w:val="22"/>
        </w:rPr>
      </w:pPr>
      <w:r w:rsidRPr="00253B1B">
        <w:rPr>
          <w:b/>
          <w:sz w:val="22"/>
          <w:szCs w:val="22"/>
        </w:rPr>
        <w:t>α) Αρχική καταχώριση και μεταγενέστερη αποτίμηση</w:t>
      </w:r>
    </w:p>
    <w:p w:rsidR="00EE246B" w:rsidRPr="00253B1B" w:rsidRDefault="00EE246B" w:rsidP="003506D2">
      <w:pPr>
        <w:shd w:val="clear" w:color="auto" w:fill="FFFFFF"/>
        <w:spacing w:after="200" w:line="276" w:lineRule="auto"/>
        <w:ind w:left="5" w:right="14" w:firstLine="562"/>
        <w:jc w:val="both"/>
        <w:rPr>
          <w:sz w:val="22"/>
          <w:szCs w:val="22"/>
        </w:rPr>
      </w:pPr>
      <w:r w:rsidRPr="00253B1B">
        <w:rPr>
          <w:sz w:val="22"/>
          <w:szCs w:val="22"/>
        </w:rPr>
        <w:t xml:space="preserve">Οι μη χρηματοοικονομικές υποχρεώσεις καταχωρίζονται αρχικά και αποτιμούνται μεταγενέστερα στο ονομαστικό ποσό που αναμένεται να απαιτηθεί για το διακανονισμό τους. Διαφορές που προκύπτουν είτε κατά την επανεκτίμησή είτε κατά το διακανονισμό των μη χρηματοοικονομικών υποχρεώσεων καταχωρίζονται ως κέρδη ή ζημίες της περιόδου στην οποία προκύπτουν. </w:t>
      </w:r>
    </w:p>
    <w:p w:rsidR="00EE246B" w:rsidRPr="00253B1B" w:rsidRDefault="00EE246B" w:rsidP="003506D2">
      <w:pPr>
        <w:shd w:val="clear" w:color="auto" w:fill="FFFFFF"/>
        <w:spacing w:after="200" w:line="276" w:lineRule="auto"/>
        <w:ind w:left="5" w:right="14" w:firstLine="562"/>
        <w:jc w:val="both"/>
        <w:rPr>
          <w:b/>
          <w:sz w:val="22"/>
          <w:szCs w:val="22"/>
        </w:rPr>
      </w:pPr>
      <w:r w:rsidRPr="00253B1B">
        <w:rPr>
          <w:b/>
          <w:sz w:val="22"/>
          <w:szCs w:val="22"/>
        </w:rPr>
        <w:lastRenderedPageBreak/>
        <w:t>β) Διαγραφή</w:t>
      </w:r>
    </w:p>
    <w:p w:rsidR="00EE246B" w:rsidRPr="00253B1B" w:rsidRDefault="00EE246B" w:rsidP="003506D2">
      <w:pPr>
        <w:shd w:val="clear" w:color="auto" w:fill="FFFFFF"/>
        <w:spacing w:after="200" w:line="276" w:lineRule="auto"/>
        <w:ind w:left="5" w:right="14" w:firstLine="562"/>
        <w:jc w:val="both"/>
        <w:rPr>
          <w:sz w:val="22"/>
          <w:szCs w:val="22"/>
        </w:rPr>
      </w:pPr>
      <w:r w:rsidRPr="00253B1B">
        <w:rPr>
          <w:sz w:val="22"/>
          <w:szCs w:val="22"/>
        </w:rPr>
        <w:t xml:space="preserve">Μια μη χρηματοοικονομική υποχρέωση διαγράφεται όταν και μόνον όταν η συμβατική δέσμευση εκπληρώνεται, ακυρώνεται ή εκπνέει, δηλαδή όταν η συμβατική δέσμευση που την δημιούργησε δεν υφίσταται πλέον. </w:t>
      </w:r>
    </w:p>
    <w:p w:rsidR="00AB767D" w:rsidRPr="00253B1B" w:rsidRDefault="00AB767D" w:rsidP="003506D2">
      <w:pPr>
        <w:shd w:val="clear" w:color="auto" w:fill="FFFFFF"/>
        <w:spacing w:after="200" w:line="276" w:lineRule="auto"/>
        <w:ind w:left="5" w:right="14" w:hanging="5"/>
        <w:jc w:val="both"/>
        <w:rPr>
          <w:b/>
          <w:sz w:val="22"/>
          <w:szCs w:val="22"/>
        </w:rPr>
      </w:pPr>
      <w:r w:rsidRPr="00253B1B">
        <w:rPr>
          <w:b/>
          <w:sz w:val="22"/>
          <w:szCs w:val="22"/>
        </w:rPr>
        <w:t>3.1.9. Προβλέψεις</w:t>
      </w:r>
    </w:p>
    <w:p w:rsidR="00DC73B8" w:rsidRPr="00253B1B" w:rsidRDefault="00DC73B8" w:rsidP="003506D2">
      <w:pPr>
        <w:shd w:val="clear" w:color="auto" w:fill="FFFFFF"/>
        <w:spacing w:after="200" w:line="276" w:lineRule="auto"/>
        <w:ind w:left="5" w:right="14" w:firstLine="562"/>
        <w:jc w:val="both"/>
        <w:rPr>
          <w:sz w:val="22"/>
          <w:szCs w:val="22"/>
        </w:rPr>
      </w:pPr>
      <w:r w:rsidRPr="00253B1B">
        <w:rPr>
          <w:sz w:val="22"/>
          <w:szCs w:val="22"/>
        </w:rPr>
        <w:t>Οι προβλέψεις καταχωρίζονται αρχικά και αποτιμούνται μεταγενέστερα στο ονομαστικό ποσό που αναμένεται να απαιτηθεί για το διακανονισμό τους, εκτός αν η αποτίμηση στην παρούσα αξία του ποσού που αναμένεται να απαιτηθεί για το διακανονισμό τους έχει σημαντική επίδραση στα ποσά των χρηματοοικονομικών καταστάσεων.</w:t>
      </w:r>
    </w:p>
    <w:p w:rsidR="00DC73B8" w:rsidRPr="00253B1B" w:rsidRDefault="00DC73B8" w:rsidP="003506D2">
      <w:pPr>
        <w:shd w:val="clear" w:color="auto" w:fill="FFFFFF"/>
        <w:spacing w:after="200" w:line="276" w:lineRule="auto"/>
        <w:ind w:left="5" w:right="14" w:firstLine="562"/>
        <w:jc w:val="both"/>
        <w:rPr>
          <w:sz w:val="22"/>
          <w:szCs w:val="22"/>
        </w:rPr>
      </w:pPr>
      <w:r w:rsidRPr="00253B1B">
        <w:rPr>
          <w:sz w:val="22"/>
          <w:szCs w:val="22"/>
        </w:rPr>
        <w:t xml:space="preserve">Ειδικότερα, οι προβλέψεις για παροχές σε εργαζομένους μετά την έξοδο από την υπηρεσία, </w:t>
      </w:r>
      <w:r w:rsidRPr="00253B1B">
        <w:rPr>
          <w:rStyle w:val="FontStyle60"/>
        </w:rPr>
        <w:t xml:space="preserve">που προκύπτουν από προγράμματα καθορισμένων παροχών, </w:t>
      </w:r>
      <w:r w:rsidRPr="00253B1B">
        <w:rPr>
          <w:sz w:val="22"/>
          <w:szCs w:val="22"/>
        </w:rPr>
        <w:t>καταχωρίζονται και αποτιμούνται στα προκύπτοντα από τη νομοθεσία ονομαστικά ποσά κατά την ημερομηνία του ισολογισμού.</w:t>
      </w:r>
    </w:p>
    <w:p w:rsidR="00FF2F42" w:rsidRPr="00253B1B" w:rsidRDefault="001C371E" w:rsidP="003506D2">
      <w:pPr>
        <w:shd w:val="clear" w:color="auto" w:fill="FFFFFF"/>
        <w:spacing w:after="200" w:line="276" w:lineRule="auto"/>
        <w:ind w:left="5" w:right="11" w:hanging="5"/>
        <w:jc w:val="both"/>
        <w:rPr>
          <w:b/>
          <w:sz w:val="22"/>
          <w:szCs w:val="22"/>
        </w:rPr>
      </w:pPr>
      <w:r w:rsidRPr="00253B1B">
        <w:rPr>
          <w:b/>
          <w:sz w:val="22"/>
          <w:szCs w:val="22"/>
        </w:rPr>
        <w:t>3.1.10</w:t>
      </w:r>
      <w:r w:rsidR="00FF2F42" w:rsidRPr="00253B1B">
        <w:rPr>
          <w:b/>
          <w:sz w:val="22"/>
          <w:szCs w:val="22"/>
        </w:rPr>
        <w:t>. Κρατικές επιχορηγήσεις</w:t>
      </w:r>
    </w:p>
    <w:p w:rsidR="006A5455" w:rsidRPr="00253B1B" w:rsidRDefault="006A5455" w:rsidP="003506D2">
      <w:pPr>
        <w:shd w:val="clear" w:color="auto" w:fill="FFFFFF"/>
        <w:spacing w:after="160" w:line="276" w:lineRule="auto"/>
        <w:ind w:left="5" w:right="11" w:firstLine="562"/>
        <w:jc w:val="both"/>
        <w:rPr>
          <w:color w:val="FF0000"/>
          <w:sz w:val="22"/>
          <w:szCs w:val="22"/>
        </w:rPr>
      </w:pPr>
      <w:r w:rsidRPr="00253B1B">
        <w:rPr>
          <w:sz w:val="22"/>
          <w:szCs w:val="22"/>
        </w:rPr>
        <w:t>Οι κρατικές επιχορηγήσεις που λαμβάνονται για απόκτηση πάγιων στοιχείων καταχωρίζονται ως αναβαλλόμενα έσοδα (έσοδα επόμενων περιόδων) και μεταφέρονται τμηματικά στα αποτελέσματα ως έσοδα κατ' αναλογία των αποσβέσεων των πάγιων στοιχείων για τα οποία ελήφθησαν, ενώ αυτές που λαμβάνονται για κάλυψη εξόδων καταχωρίζονται στα αποτελέσματα ως έσοδα στην ίδια περίοδο που καταχωρίζονται και τα αντίστοιχα έξοδα.</w:t>
      </w:r>
      <w:r w:rsidR="009532FB" w:rsidRPr="00253B1B">
        <w:rPr>
          <w:sz w:val="22"/>
          <w:szCs w:val="22"/>
        </w:rPr>
        <w:t xml:space="preserve"> </w:t>
      </w:r>
    </w:p>
    <w:p w:rsidR="00FF2F42" w:rsidRPr="00253B1B" w:rsidRDefault="009E45E8" w:rsidP="003506D2">
      <w:pPr>
        <w:shd w:val="clear" w:color="auto" w:fill="FFFFFF"/>
        <w:spacing w:after="160" w:line="276" w:lineRule="auto"/>
        <w:ind w:left="5" w:right="11" w:hanging="5"/>
        <w:jc w:val="both"/>
        <w:rPr>
          <w:b/>
          <w:sz w:val="22"/>
          <w:szCs w:val="22"/>
        </w:rPr>
      </w:pPr>
      <w:r w:rsidRPr="00253B1B">
        <w:rPr>
          <w:b/>
          <w:sz w:val="22"/>
          <w:szCs w:val="22"/>
        </w:rPr>
        <w:t>3.1.11</w:t>
      </w:r>
      <w:r w:rsidR="00FF2F42" w:rsidRPr="00253B1B">
        <w:rPr>
          <w:b/>
          <w:sz w:val="22"/>
          <w:szCs w:val="22"/>
        </w:rPr>
        <w:t>. Έσοδα και έξοδα</w:t>
      </w:r>
    </w:p>
    <w:p w:rsidR="00722933" w:rsidRPr="00253B1B" w:rsidRDefault="00722933" w:rsidP="003506D2">
      <w:pPr>
        <w:shd w:val="clear" w:color="auto" w:fill="FFFFFF"/>
        <w:spacing w:after="160" w:line="276" w:lineRule="auto"/>
        <w:ind w:left="5" w:right="11" w:firstLine="562"/>
        <w:jc w:val="both"/>
        <w:rPr>
          <w:sz w:val="22"/>
          <w:szCs w:val="22"/>
        </w:rPr>
      </w:pPr>
      <w:bookmarkStart w:id="24" w:name="_Toc404864539"/>
      <w:r w:rsidRPr="00253B1B">
        <w:rPr>
          <w:sz w:val="22"/>
          <w:szCs w:val="22"/>
        </w:rPr>
        <w:t xml:space="preserve">Η εταιρεία καταχωρίζει τα έσοδα και τα έξοδα, όταν αυτά καθίστανται δουλευμένα. </w:t>
      </w:r>
    </w:p>
    <w:p w:rsidR="00722933" w:rsidRPr="00253B1B" w:rsidRDefault="00722933" w:rsidP="003506D2">
      <w:pPr>
        <w:shd w:val="clear" w:color="auto" w:fill="FFFFFF"/>
        <w:spacing w:after="160" w:line="276" w:lineRule="auto"/>
        <w:ind w:left="5" w:right="11" w:firstLine="562"/>
        <w:jc w:val="both"/>
        <w:rPr>
          <w:sz w:val="22"/>
          <w:szCs w:val="22"/>
        </w:rPr>
      </w:pPr>
      <w:r w:rsidRPr="00253B1B">
        <w:rPr>
          <w:sz w:val="22"/>
          <w:szCs w:val="22"/>
        </w:rPr>
        <w:t>Ειδικότερα:</w:t>
      </w:r>
    </w:p>
    <w:p w:rsidR="00722933" w:rsidRPr="00253B1B" w:rsidRDefault="00722933" w:rsidP="003506D2">
      <w:pPr>
        <w:numPr>
          <w:ilvl w:val="0"/>
          <w:numId w:val="4"/>
        </w:numPr>
        <w:shd w:val="clear" w:color="auto" w:fill="FFFFFF"/>
        <w:spacing w:after="160" w:line="276" w:lineRule="auto"/>
        <w:ind w:left="993" w:right="11" w:hanging="426"/>
        <w:jc w:val="both"/>
        <w:rPr>
          <w:sz w:val="22"/>
          <w:szCs w:val="22"/>
        </w:rPr>
      </w:pPr>
      <w:r w:rsidRPr="00253B1B">
        <w:rPr>
          <w:sz w:val="22"/>
          <w:szCs w:val="22"/>
        </w:rPr>
        <w:t>Τα έσοδα από πώληση αγαθών καταχωρίζονται εντός της περιόδου στην οποία καθίστανται δουλευμένα και εφόσον πληρούνται όλες οι παρακάτω προϋποθέσεις:</w:t>
      </w:r>
    </w:p>
    <w:p w:rsidR="00722933" w:rsidRPr="00253B1B" w:rsidRDefault="00722933" w:rsidP="003506D2">
      <w:pPr>
        <w:numPr>
          <w:ilvl w:val="0"/>
          <w:numId w:val="10"/>
        </w:numPr>
        <w:shd w:val="clear" w:color="auto" w:fill="FFFFFF"/>
        <w:spacing w:after="160" w:line="276" w:lineRule="auto"/>
        <w:ind w:left="1418" w:right="11" w:hanging="425"/>
        <w:jc w:val="both"/>
        <w:rPr>
          <w:sz w:val="22"/>
          <w:szCs w:val="22"/>
        </w:rPr>
      </w:pPr>
      <w:r w:rsidRPr="00253B1B">
        <w:rPr>
          <w:sz w:val="22"/>
          <w:szCs w:val="22"/>
        </w:rPr>
        <w:t>Μεταβιβάζονται στον αγοραστή οι ουσιαστικοί κίνδυνοι και τα οφέλη που συνδέονται με την κυριότητά τους.</w:t>
      </w:r>
    </w:p>
    <w:p w:rsidR="00722933" w:rsidRPr="00253B1B" w:rsidRDefault="00722933" w:rsidP="003506D2">
      <w:pPr>
        <w:numPr>
          <w:ilvl w:val="0"/>
          <w:numId w:val="10"/>
        </w:numPr>
        <w:shd w:val="clear" w:color="auto" w:fill="FFFFFF"/>
        <w:spacing w:after="160" w:line="276" w:lineRule="auto"/>
        <w:ind w:left="1418" w:right="11" w:hanging="425"/>
        <w:jc w:val="both"/>
        <w:rPr>
          <w:sz w:val="22"/>
          <w:szCs w:val="22"/>
        </w:rPr>
      </w:pPr>
      <w:r w:rsidRPr="00253B1B">
        <w:rPr>
          <w:sz w:val="22"/>
          <w:szCs w:val="22"/>
        </w:rPr>
        <w:t>Τα αγαθά γίνονται αποδεκτά από τον αγοραστή.</w:t>
      </w:r>
    </w:p>
    <w:p w:rsidR="00722933" w:rsidRPr="00253B1B" w:rsidRDefault="00722933" w:rsidP="003506D2">
      <w:pPr>
        <w:numPr>
          <w:ilvl w:val="0"/>
          <w:numId w:val="10"/>
        </w:numPr>
        <w:shd w:val="clear" w:color="auto" w:fill="FFFFFF"/>
        <w:spacing w:after="160" w:line="276" w:lineRule="auto"/>
        <w:ind w:left="1418" w:right="11" w:hanging="425"/>
        <w:jc w:val="both"/>
        <w:rPr>
          <w:sz w:val="22"/>
          <w:szCs w:val="22"/>
        </w:rPr>
      </w:pPr>
      <w:r w:rsidRPr="00253B1B">
        <w:rPr>
          <w:sz w:val="22"/>
          <w:szCs w:val="22"/>
        </w:rPr>
        <w:t>Τα οικονομικά οφέλη από τη συναλλαγή μπορούν να αποτιμηθούν αξιόπιστα και θεωρείται σφόδρα πιθανή η εισροή τους στην οντότητα.</w:t>
      </w:r>
    </w:p>
    <w:p w:rsidR="00722933" w:rsidRPr="00253B1B" w:rsidRDefault="00722933" w:rsidP="003506D2">
      <w:pPr>
        <w:numPr>
          <w:ilvl w:val="0"/>
          <w:numId w:val="5"/>
        </w:numPr>
        <w:shd w:val="clear" w:color="auto" w:fill="FFFFFF"/>
        <w:spacing w:after="160" w:line="276" w:lineRule="auto"/>
        <w:ind w:left="993" w:right="11" w:hanging="426"/>
        <w:jc w:val="both"/>
        <w:rPr>
          <w:sz w:val="22"/>
          <w:szCs w:val="22"/>
        </w:rPr>
      </w:pPr>
      <w:r w:rsidRPr="00253B1B">
        <w:rPr>
          <w:sz w:val="22"/>
          <w:szCs w:val="22"/>
        </w:rPr>
        <w:t>Τα έσοδα από παροχή υπηρεσιών και κατασκευαστικά συμβόλαια καταχωρίζονται με τη μέθοδο του ποσοστού ολοκληρώσεως.</w:t>
      </w:r>
    </w:p>
    <w:p w:rsidR="00722933" w:rsidRPr="00253B1B" w:rsidRDefault="00722933" w:rsidP="003506D2">
      <w:pPr>
        <w:numPr>
          <w:ilvl w:val="0"/>
          <w:numId w:val="5"/>
        </w:numPr>
        <w:shd w:val="clear" w:color="auto" w:fill="FFFFFF"/>
        <w:spacing w:after="160" w:line="276" w:lineRule="auto"/>
        <w:ind w:left="993" w:right="11" w:hanging="426"/>
        <w:jc w:val="both"/>
        <w:rPr>
          <w:sz w:val="22"/>
          <w:szCs w:val="22"/>
        </w:rPr>
      </w:pPr>
      <w:r w:rsidRPr="00253B1B">
        <w:rPr>
          <w:sz w:val="22"/>
          <w:szCs w:val="22"/>
        </w:rPr>
        <w:t>Τα έσοδα που προέρχονται από τη χρήση περιουσιακών στοιχείων της οντότητας από τρίτους καταχωρίζονται ως εξής:</w:t>
      </w:r>
    </w:p>
    <w:p w:rsidR="00722933" w:rsidRPr="00253B1B" w:rsidRDefault="006876B2" w:rsidP="003506D2">
      <w:pPr>
        <w:numPr>
          <w:ilvl w:val="0"/>
          <w:numId w:val="10"/>
        </w:numPr>
        <w:shd w:val="clear" w:color="auto" w:fill="FFFFFF"/>
        <w:spacing w:after="160" w:line="276" w:lineRule="auto"/>
        <w:ind w:left="1418" w:right="11" w:hanging="425"/>
        <w:jc w:val="both"/>
        <w:rPr>
          <w:sz w:val="22"/>
          <w:szCs w:val="22"/>
        </w:rPr>
      </w:pPr>
      <w:r w:rsidRPr="00253B1B">
        <w:rPr>
          <w:sz w:val="22"/>
          <w:szCs w:val="22"/>
        </w:rPr>
        <w:t>Οι</w:t>
      </w:r>
      <w:r w:rsidR="00722933" w:rsidRPr="00253B1B">
        <w:rPr>
          <w:sz w:val="22"/>
          <w:szCs w:val="22"/>
        </w:rPr>
        <w:t xml:space="preserve"> τόκοι βάσει χρονικής αναλογίας με τη σταθερή μέθοδο. </w:t>
      </w:r>
    </w:p>
    <w:p w:rsidR="00722933" w:rsidRPr="00253B1B" w:rsidRDefault="00722933" w:rsidP="003506D2">
      <w:pPr>
        <w:numPr>
          <w:ilvl w:val="0"/>
          <w:numId w:val="10"/>
        </w:numPr>
        <w:shd w:val="clear" w:color="auto" w:fill="FFFFFF"/>
        <w:spacing w:after="160" w:line="276" w:lineRule="auto"/>
        <w:ind w:left="1418" w:right="11" w:hanging="425"/>
        <w:jc w:val="both"/>
        <w:rPr>
          <w:sz w:val="22"/>
          <w:szCs w:val="22"/>
        </w:rPr>
      </w:pPr>
      <w:r w:rsidRPr="00253B1B">
        <w:rPr>
          <w:sz w:val="22"/>
          <w:szCs w:val="22"/>
        </w:rPr>
        <w:t>Τα μερίσματα ή παρόμοιας φύσεως εισόδημα από τη συμμετοχή στην καθαρή θέση άλλων οντοτήτων όταν εγκρίνονται από το αρμόδιο όργανο που αποφασίζει τη διανομή τους.</w:t>
      </w:r>
    </w:p>
    <w:p w:rsidR="00722933" w:rsidRPr="00253B1B" w:rsidRDefault="00722933" w:rsidP="003506D2">
      <w:pPr>
        <w:numPr>
          <w:ilvl w:val="0"/>
          <w:numId w:val="10"/>
        </w:numPr>
        <w:shd w:val="clear" w:color="auto" w:fill="FFFFFF"/>
        <w:spacing w:after="160" w:line="276" w:lineRule="auto"/>
        <w:ind w:left="1418" w:right="11" w:hanging="425"/>
        <w:jc w:val="both"/>
        <w:rPr>
          <w:sz w:val="22"/>
          <w:szCs w:val="22"/>
        </w:rPr>
      </w:pPr>
      <w:r w:rsidRPr="00253B1B">
        <w:rPr>
          <w:sz w:val="22"/>
          <w:szCs w:val="22"/>
        </w:rPr>
        <w:t xml:space="preserve"> Τα δικαιώματα βάσει των σχετικών συμβατικών όρων.</w:t>
      </w:r>
    </w:p>
    <w:p w:rsidR="009E45E8" w:rsidRPr="00253B1B" w:rsidRDefault="009E45E8" w:rsidP="003506D2">
      <w:pPr>
        <w:shd w:val="clear" w:color="auto" w:fill="FFFFFF"/>
        <w:spacing w:after="160" w:line="276" w:lineRule="auto"/>
        <w:ind w:left="5" w:right="14" w:hanging="5"/>
        <w:jc w:val="both"/>
        <w:rPr>
          <w:b/>
          <w:sz w:val="22"/>
          <w:szCs w:val="22"/>
        </w:rPr>
      </w:pPr>
      <w:r w:rsidRPr="00253B1B">
        <w:rPr>
          <w:b/>
          <w:sz w:val="22"/>
          <w:szCs w:val="22"/>
        </w:rPr>
        <w:lastRenderedPageBreak/>
        <w:t>3.1.12. Στοιχεία της καθαρής θέσεως</w:t>
      </w:r>
      <w:bookmarkEnd w:id="24"/>
    </w:p>
    <w:p w:rsidR="009F1ECA" w:rsidRPr="00253B1B" w:rsidRDefault="009F1ECA" w:rsidP="003506D2">
      <w:pPr>
        <w:shd w:val="clear" w:color="auto" w:fill="FFFFFF"/>
        <w:spacing w:after="160" w:line="276" w:lineRule="auto"/>
        <w:ind w:left="5" w:right="14" w:firstLine="562"/>
        <w:jc w:val="both"/>
        <w:rPr>
          <w:sz w:val="22"/>
          <w:szCs w:val="22"/>
        </w:rPr>
      </w:pPr>
      <w:r w:rsidRPr="00253B1B">
        <w:rPr>
          <w:sz w:val="22"/>
          <w:szCs w:val="22"/>
        </w:rPr>
        <w:t>Τα κονδύλια της καθαρής θέσεως καταχωρίζονται αρχικά και αποτιμούνται μεταγενέστερα στα ονομαστικά ποσά, που έχουν ληφθεί ή καταβληθεί.</w:t>
      </w:r>
    </w:p>
    <w:p w:rsidR="00402079" w:rsidRPr="00253B1B" w:rsidRDefault="00402079" w:rsidP="003506D2">
      <w:pPr>
        <w:shd w:val="clear" w:color="auto" w:fill="FFFFFF"/>
        <w:spacing w:after="160" w:line="276" w:lineRule="auto"/>
        <w:ind w:left="5" w:right="14" w:hanging="5"/>
        <w:jc w:val="both"/>
        <w:rPr>
          <w:b/>
          <w:sz w:val="22"/>
          <w:szCs w:val="22"/>
        </w:rPr>
      </w:pPr>
      <w:r w:rsidRPr="00253B1B">
        <w:rPr>
          <w:b/>
          <w:sz w:val="22"/>
          <w:szCs w:val="22"/>
        </w:rPr>
        <w:t xml:space="preserve">3.1.13. Ενδεχόμενα περιουσιακά στοιχεία και ενδεχόμενες υποχρεώσεις </w:t>
      </w:r>
    </w:p>
    <w:p w:rsidR="009A71F1" w:rsidRPr="00253B1B" w:rsidRDefault="009A71F1" w:rsidP="003506D2">
      <w:pPr>
        <w:shd w:val="clear" w:color="auto" w:fill="FFFFFF"/>
        <w:spacing w:after="160" w:line="276" w:lineRule="auto"/>
        <w:ind w:left="5" w:right="14" w:firstLine="562"/>
        <w:jc w:val="both"/>
        <w:rPr>
          <w:sz w:val="22"/>
          <w:szCs w:val="22"/>
        </w:rPr>
      </w:pPr>
      <w:r w:rsidRPr="00253B1B">
        <w:rPr>
          <w:sz w:val="22"/>
          <w:szCs w:val="22"/>
        </w:rPr>
        <w:t>Τα στοιχεία αυτά αφορούν ενδεχόμενα δικαιώματα και δεσμεύσεις αντίστοιχα, τα οποία προκύπτουν από γεγονότα του παρελθόντος και η ύπαρξή τους θα επιβεβαιωθεί μόνο από το αν συμβούν ή δεν συμβούν ένα ή περισσότερα αβέβαια μελλοντικά γεγονότα, τα οποία δεν είναι πλήρως υπό τον έλεγχο της Εταιρείας. Τα στοιχεία αυτά γνωστοποιούνται στις σημειώσεις των χρηματοοικονομικών καταστάσεων.</w:t>
      </w:r>
    </w:p>
    <w:p w:rsidR="00402079" w:rsidRPr="00253B1B" w:rsidRDefault="00402079" w:rsidP="003506D2">
      <w:pPr>
        <w:shd w:val="clear" w:color="auto" w:fill="FFFFFF"/>
        <w:spacing w:after="200" w:line="276" w:lineRule="auto"/>
        <w:ind w:left="5" w:right="14" w:hanging="5"/>
        <w:jc w:val="both"/>
        <w:rPr>
          <w:b/>
          <w:sz w:val="22"/>
          <w:szCs w:val="22"/>
        </w:rPr>
      </w:pPr>
      <w:r w:rsidRPr="00253B1B">
        <w:rPr>
          <w:b/>
          <w:sz w:val="22"/>
          <w:szCs w:val="22"/>
        </w:rPr>
        <w:t>3.1.14. Γεγονότα μετά την ημερομηνία ισολογισμού</w:t>
      </w:r>
    </w:p>
    <w:p w:rsidR="000651AF" w:rsidRPr="00253B1B" w:rsidRDefault="000651AF" w:rsidP="003506D2">
      <w:pPr>
        <w:shd w:val="clear" w:color="auto" w:fill="FFFFFF"/>
        <w:spacing w:after="200" w:line="276" w:lineRule="auto"/>
        <w:ind w:left="5" w:right="14" w:firstLine="562"/>
        <w:jc w:val="both"/>
        <w:rPr>
          <w:sz w:val="22"/>
          <w:szCs w:val="22"/>
        </w:rPr>
      </w:pPr>
      <w:r w:rsidRPr="00253B1B">
        <w:rPr>
          <w:sz w:val="22"/>
          <w:szCs w:val="22"/>
        </w:rPr>
        <w:t xml:space="preserve">Οι αξίες των περιουσιακών στοιχείων και των υποχρεώσεων κατά την ημερομηνία του ισολογισμού, προσαρμόζονται, εάν υπάρχει αντικειμενική ένδειξη ότι διορθωτικά γεγονότα μετά την ημερομηνία αυτή επιβάλλουν προσαρμογές της αξίας τους. Οι προσαρμογές αυτές γίνονται για τέτοια γεγονότα, ως την ημερομηνία εγκρίσεως των οικονομικών καταστάσεων από το Διοικητικό Συμβούλιο. Τα μη διορθωτικά, μετά την ημερομηνία του ισολογισμού γεγονότα, γνωστοποιούνται εφόσον είναι σημαντικά, στις σημειώσεις των χρηματοοικονομικών καταστάσεων.  </w:t>
      </w:r>
    </w:p>
    <w:p w:rsidR="00402079" w:rsidRPr="00253B1B" w:rsidRDefault="00402079" w:rsidP="003506D2">
      <w:pPr>
        <w:shd w:val="clear" w:color="auto" w:fill="FFFFFF"/>
        <w:spacing w:after="200" w:line="276" w:lineRule="auto"/>
        <w:ind w:left="5" w:right="14" w:hanging="5"/>
        <w:jc w:val="both"/>
        <w:rPr>
          <w:b/>
          <w:sz w:val="22"/>
          <w:szCs w:val="22"/>
        </w:rPr>
      </w:pPr>
      <w:r w:rsidRPr="00253B1B">
        <w:rPr>
          <w:b/>
          <w:sz w:val="22"/>
          <w:szCs w:val="22"/>
        </w:rPr>
        <w:t>3.1.15. Σημαντικές λογιστικές εκτιμήσεις και παραδοχές</w:t>
      </w:r>
    </w:p>
    <w:p w:rsidR="002419A0" w:rsidRPr="00253B1B" w:rsidRDefault="002419A0" w:rsidP="003506D2">
      <w:pPr>
        <w:shd w:val="clear" w:color="auto" w:fill="FFFFFF"/>
        <w:spacing w:after="200" w:line="276" w:lineRule="auto"/>
        <w:ind w:left="5" w:right="14" w:firstLine="562"/>
        <w:jc w:val="both"/>
        <w:rPr>
          <w:sz w:val="22"/>
          <w:szCs w:val="22"/>
        </w:rPr>
      </w:pPr>
      <w:r w:rsidRPr="00253B1B">
        <w:rPr>
          <w:sz w:val="22"/>
          <w:szCs w:val="22"/>
        </w:rPr>
        <w:t>Οι εκτιμήσεις και οι παραδοχές αξιολογούνται διαρκώς και βασίζονται στην ιστορική εμπειρία και σε άλλους παράγοντες, συμπεριλαμβανομένων αναμενόμενων μελλοντικών γεγονότων που, υπό τις παρούσες συνθήκες, αναμένεται να πραγματοποιηθούν.</w:t>
      </w:r>
    </w:p>
    <w:p w:rsidR="004730E8" w:rsidRPr="00253B1B" w:rsidRDefault="004730E8" w:rsidP="003506D2">
      <w:pPr>
        <w:shd w:val="clear" w:color="auto" w:fill="FFFFFF"/>
        <w:spacing w:after="200" w:line="276" w:lineRule="auto"/>
        <w:ind w:left="567" w:right="14" w:hanging="567"/>
        <w:jc w:val="both"/>
        <w:rPr>
          <w:b/>
          <w:sz w:val="8"/>
          <w:szCs w:val="22"/>
        </w:rPr>
      </w:pPr>
    </w:p>
    <w:p w:rsidR="00FF2F42" w:rsidRPr="00253B1B" w:rsidRDefault="00FF2F42" w:rsidP="003506D2">
      <w:pPr>
        <w:shd w:val="clear" w:color="auto" w:fill="FFFFFF"/>
        <w:spacing w:after="200" w:line="276" w:lineRule="auto"/>
        <w:ind w:left="567" w:right="14" w:hanging="567"/>
        <w:jc w:val="both"/>
        <w:rPr>
          <w:b/>
          <w:sz w:val="22"/>
          <w:szCs w:val="22"/>
        </w:rPr>
      </w:pPr>
      <w:r w:rsidRPr="00253B1B">
        <w:rPr>
          <w:b/>
          <w:sz w:val="22"/>
          <w:szCs w:val="22"/>
        </w:rPr>
        <w:t>3.2. Μεταβολή λογιστικών αρχών και μεθόδων, μεταβολές λογιστικών εκτιμήσεων και διόρθωση σφαλμάτων προηγούμενων περιόδων</w:t>
      </w:r>
    </w:p>
    <w:p w:rsidR="00FF2F42" w:rsidRPr="00253B1B" w:rsidRDefault="00FF2F42" w:rsidP="003506D2">
      <w:pPr>
        <w:shd w:val="clear" w:color="auto" w:fill="FFFFFF"/>
        <w:spacing w:after="200" w:line="276" w:lineRule="auto"/>
        <w:ind w:left="5" w:right="14" w:hanging="5"/>
        <w:jc w:val="both"/>
        <w:rPr>
          <w:b/>
          <w:sz w:val="22"/>
          <w:szCs w:val="22"/>
        </w:rPr>
      </w:pPr>
      <w:r w:rsidRPr="00253B1B">
        <w:rPr>
          <w:b/>
          <w:sz w:val="22"/>
          <w:szCs w:val="22"/>
        </w:rPr>
        <w:t>3.2.1. Μεταβολή λογιστικών αρχών και μεθόδων</w:t>
      </w:r>
    </w:p>
    <w:p w:rsidR="002419A0" w:rsidRPr="00253B1B" w:rsidRDefault="002419A0" w:rsidP="003506D2">
      <w:pPr>
        <w:shd w:val="clear" w:color="auto" w:fill="FFFFFF"/>
        <w:spacing w:after="200" w:line="276" w:lineRule="auto"/>
        <w:ind w:left="5" w:right="14" w:firstLine="562"/>
        <w:jc w:val="both"/>
        <w:rPr>
          <w:sz w:val="22"/>
          <w:szCs w:val="22"/>
        </w:rPr>
      </w:pPr>
      <w:r w:rsidRPr="00253B1B">
        <w:rPr>
          <w:sz w:val="22"/>
          <w:szCs w:val="22"/>
        </w:rPr>
        <w:t>Οι μεταβολές λογιστικών αρχών και μεθόδων, καταχωρίζονται με αναδρομική επαναδιατύπωση των χρηματοοικονομικών καταστάσεων όλων των περιόδων που δημοσιοποιούνται μαζί με τις καταστάσεις της τρέχουσας περιόδου, ώστε τα παρουσιαζόμενα κονδύλια να είναι συγκρίσιμα.</w:t>
      </w:r>
    </w:p>
    <w:p w:rsidR="002419A0" w:rsidRPr="00253B1B" w:rsidRDefault="002419A0" w:rsidP="003506D2">
      <w:pPr>
        <w:shd w:val="clear" w:color="auto" w:fill="FFFFFF"/>
        <w:spacing w:after="200" w:line="276" w:lineRule="auto"/>
        <w:ind w:left="5" w:right="14" w:firstLine="562"/>
        <w:jc w:val="both"/>
        <w:rPr>
          <w:sz w:val="22"/>
          <w:szCs w:val="22"/>
        </w:rPr>
      </w:pPr>
      <w:r w:rsidRPr="00253B1B">
        <w:rPr>
          <w:sz w:val="22"/>
          <w:szCs w:val="22"/>
        </w:rPr>
        <w:t>Στην παρούσα περίοδο δεν προέκυψε ανάγκη τέτοιας μεταβολής.</w:t>
      </w:r>
    </w:p>
    <w:p w:rsidR="00FF2F42" w:rsidRPr="00253B1B" w:rsidRDefault="00FF2F42" w:rsidP="003506D2">
      <w:pPr>
        <w:shd w:val="clear" w:color="auto" w:fill="FFFFFF"/>
        <w:spacing w:after="120" w:line="276" w:lineRule="auto"/>
        <w:ind w:left="5" w:right="14" w:hanging="5"/>
        <w:rPr>
          <w:b/>
          <w:sz w:val="22"/>
          <w:szCs w:val="22"/>
        </w:rPr>
      </w:pPr>
      <w:r w:rsidRPr="00253B1B">
        <w:rPr>
          <w:b/>
          <w:sz w:val="22"/>
          <w:szCs w:val="22"/>
        </w:rPr>
        <w:t>3.2.2 Μεταβολές λογιστικών εκτιμήσεων</w:t>
      </w:r>
    </w:p>
    <w:p w:rsidR="005018E8" w:rsidRPr="00253B1B" w:rsidRDefault="005018E8" w:rsidP="003506D2">
      <w:pPr>
        <w:shd w:val="clear" w:color="auto" w:fill="FFFFFF"/>
        <w:spacing w:after="120" w:line="276" w:lineRule="auto"/>
        <w:ind w:left="5" w:right="14" w:firstLine="562"/>
        <w:jc w:val="both"/>
        <w:rPr>
          <w:sz w:val="22"/>
          <w:szCs w:val="22"/>
        </w:rPr>
      </w:pPr>
      <w:r w:rsidRPr="00253B1B">
        <w:rPr>
          <w:sz w:val="22"/>
          <w:szCs w:val="22"/>
        </w:rPr>
        <w:t>Οι μεταβολές των λογιστικών εκτιμήσεων καταχωρίζονται στην περίοδο, στην οποία διαπιστώνεται ότι προκύπτουν και επηρεάζουν αυτή την περίοδο και μελλοντικές περιόδους, κατά περίπτωση. Οι μεταβολές αυτές δεν καταχωρίζονται αναδρομικά.</w:t>
      </w:r>
    </w:p>
    <w:p w:rsidR="00FF2F42" w:rsidRPr="00253B1B" w:rsidRDefault="00FF2F42" w:rsidP="003506D2">
      <w:pPr>
        <w:shd w:val="clear" w:color="auto" w:fill="FFFFFF"/>
        <w:spacing w:after="120" w:line="276" w:lineRule="auto"/>
        <w:ind w:left="5" w:right="14" w:hanging="5"/>
        <w:rPr>
          <w:b/>
          <w:sz w:val="22"/>
          <w:szCs w:val="22"/>
        </w:rPr>
      </w:pPr>
      <w:r w:rsidRPr="00253B1B">
        <w:rPr>
          <w:b/>
          <w:sz w:val="22"/>
          <w:szCs w:val="22"/>
        </w:rPr>
        <w:t>3.2.3. Διόρθωση σφαλμάτων προηγούμενων περιόδων</w:t>
      </w:r>
    </w:p>
    <w:p w:rsidR="0080505C" w:rsidRPr="00253B1B" w:rsidRDefault="0080505C" w:rsidP="003506D2">
      <w:pPr>
        <w:shd w:val="clear" w:color="auto" w:fill="FFFFFF"/>
        <w:spacing w:after="120" w:line="276" w:lineRule="auto"/>
        <w:ind w:left="5" w:right="14" w:firstLine="562"/>
        <w:jc w:val="both"/>
        <w:rPr>
          <w:sz w:val="22"/>
          <w:szCs w:val="22"/>
        </w:rPr>
      </w:pPr>
      <w:r w:rsidRPr="00253B1B">
        <w:rPr>
          <w:sz w:val="22"/>
          <w:szCs w:val="22"/>
        </w:rPr>
        <w:t xml:space="preserve">Οι διορθώσεις σφαλμάτων καταχωρίζονται με την αναδρομική διόρθωση των χρηματοοικονομικών καταστάσεων όλων των περιόδων που δημοσιοποιούνται μαζί με τις καταστάσεις της τρέχουσας περιόδου. </w:t>
      </w:r>
    </w:p>
    <w:p w:rsidR="0080505C" w:rsidRPr="00253B1B" w:rsidRDefault="0080505C" w:rsidP="003506D2">
      <w:pPr>
        <w:shd w:val="clear" w:color="auto" w:fill="FFFFFF"/>
        <w:spacing w:after="120" w:line="276" w:lineRule="auto"/>
        <w:ind w:left="5" w:right="14" w:firstLine="562"/>
        <w:jc w:val="both"/>
        <w:rPr>
          <w:sz w:val="22"/>
          <w:szCs w:val="22"/>
        </w:rPr>
      </w:pPr>
      <w:r w:rsidRPr="00253B1B">
        <w:rPr>
          <w:sz w:val="22"/>
          <w:szCs w:val="22"/>
        </w:rPr>
        <w:t>Στην παρούσα περίοδο δεν εντοπίστηκε σφάλμα προηγούμενης περιόδου.</w:t>
      </w:r>
    </w:p>
    <w:p w:rsidR="00ED1BD1" w:rsidRPr="00253B1B" w:rsidRDefault="00FF2F42" w:rsidP="003506D2">
      <w:pPr>
        <w:pStyle w:val="1"/>
        <w:spacing w:after="120" w:line="276" w:lineRule="auto"/>
        <w:jc w:val="left"/>
      </w:pPr>
      <w:bookmarkStart w:id="25" w:name="_Toc488058536"/>
      <w:bookmarkStart w:id="26" w:name="_Toc15545997"/>
      <w:r w:rsidRPr="00253B1B">
        <w:lastRenderedPageBreak/>
        <w:t>4. Π</w:t>
      </w:r>
      <w:r w:rsidR="00B0095A" w:rsidRPr="00253B1B">
        <w:t>αρεκκλίσεις από τις διατάξεις του νόμου</w:t>
      </w:r>
      <w:r w:rsidR="00ED1BD1" w:rsidRPr="00253B1B">
        <w:t xml:space="preserve"> προκειμένου να επιτευχθεί εύλογη παρουσίαση των χρηματοοικονομικών καταστάσεων</w:t>
      </w:r>
      <w:bookmarkEnd w:id="25"/>
      <w:bookmarkEnd w:id="26"/>
    </w:p>
    <w:p w:rsidR="001E3148" w:rsidRDefault="001E3148" w:rsidP="003506D2">
      <w:pPr>
        <w:shd w:val="clear" w:color="auto" w:fill="FFFFFF"/>
        <w:spacing w:after="120" w:line="276" w:lineRule="auto"/>
        <w:ind w:left="5" w:right="14" w:firstLine="562"/>
        <w:jc w:val="both"/>
        <w:rPr>
          <w:sz w:val="22"/>
          <w:szCs w:val="22"/>
        </w:rPr>
      </w:pPr>
      <w:r w:rsidRPr="00253B1B">
        <w:rPr>
          <w:sz w:val="22"/>
          <w:szCs w:val="22"/>
        </w:rPr>
        <w:t>Στην παρούσα περίοδο δεν προέκυψε ανάγκη τέτοιας παρεκκλίσεως.</w:t>
      </w:r>
    </w:p>
    <w:p w:rsidR="003506D2" w:rsidRPr="00253B1B" w:rsidRDefault="003506D2" w:rsidP="003506D2">
      <w:pPr>
        <w:shd w:val="clear" w:color="auto" w:fill="FFFFFF"/>
        <w:spacing w:line="276" w:lineRule="auto"/>
        <w:ind w:left="6" w:right="11" w:firstLine="561"/>
        <w:jc w:val="both"/>
        <w:rPr>
          <w:sz w:val="22"/>
          <w:szCs w:val="22"/>
        </w:rPr>
      </w:pPr>
    </w:p>
    <w:p w:rsidR="006C47D8" w:rsidRPr="00253B1B" w:rsidRDefault="00FF2F42" w:rsidP="003506D2">
      <w:pPr>
        <w:pStyle w:val="1"/>
        <w:spacing w:after="120" w:line="276" w:lineRule="auto"/>
        <w:jc w:val="left"/>
        <w:rPr>
          <w:b w:val="0"/>
          <w:sz w:val="22"/>
          <w:szCs w:val="22"/>
        </w:rPr>
      </w:pPr>
      <w:bookmarkStart w:id="27" w:name="_Toc488058537"/>
      <w:bookmarkStart w:id="28" w:name="_Toc15545998"/>
      <w:r w:rsidRPr="00253B1B">
        <w:t>5. Σ</w:t>
      </w:r>
      <w:r w:rsidR="00ED1BD1" w:rsidRPr="00253B1B">
        <w:t>χέσεις ενός περιουσιακού στοιχείου ή μιας υποχρεώσεως με περισσότερα από ένα κονδύλια</w:t>
      </w:r>
      <w:bookmarkEnd w:id="27"/>
      <w:bookmarkEnd w:id="28"/>
      <w:r w:rsidR="00ED1BD1" w:rsidRPr="00253B1B">
        <w:t xml:space="preserve"> </w:t>
      </w:r>
    </w:p>
    <w:p w:rsidR="00FF2F42" w:rsidRDefault="005E4998" w:rsidP="003506D2">
      <w:pPr>
        <w:shd w:val="clear" w:color="auto" w:fill="FFFFFF"/>
        <w:spacing w:after="120" w:line="276" w:lineRule="auto"/>
        <w:ind w:left="5" w:right="14" w:firstLine="562"/>
        <w:jc w:val="both"/>
        <w:rPr>
          <w:sz w:val="22"/>
          <w:szCs w:val="22"/>
        </w:rPr>
      </w:pPr>
      <w:r w:rsidRPr="00253B1B">
        <w:rPr>
          <w:sz w:val="22"/>
          <w:szCs w:val="22"/>
        </w:rPr>
        <w:t>Δεν υπάρχουν σχέσεις με περισσότερα από ένα κονδύλια.</w:t>
      </w:r>
    </w:p>
    <w:p w:rsidR="00ED1BD1" w:rsidRPr="001A1E85" w:rsidRDefault="00FF2F42" w:rsidP="003506D2">
      <w:pPr>
        <w:pStyle w:val="1"/>
        <w:spacing w:line="276" w:lineRule="auto"/>
        <w:jc w:val="left"/>
      </w:pPr>
      <w:bookmarkStart w:id="29" w:name="_Toc488058538"/>
      <w:bookmarkStart w:id="30" w:name="_Toc15545999"/>
      <w:r w:rsidRPr="001A1E85">
        <w:t>6. Π</w:t>
      </w:r>
      <w:r w:rsidR="00ED1BD1" w:rsidRPr="001A1E85">
        <w:t>ληροφορίες σχετικά με ενσώματα και άυλα πάγια περιουσιακά στοιχεί</w:t>
      </w:r>
      <w:r w:rsidR="006C47D8" w:rsidRPr="001A1E85">
        <w:t>α</w:t>
      </w:r>
      <w:bookmarkEnd w:id="29"/>
      <w:bookmarkEnd w:id="30"/>
    </w:p>
    <w:p w:rsidR="00253B1B" w:rsidRPr="001A1E85" w:rsidRDefault="00253B1B" w:rsidP="003506D2">
      <w:pPr>
        <w:spacing w:line="276" w:lineRule="auto"/>
        <w:rPr>
          <w:lang w:val="x-none" w:eastAsia="en-US"/>
        </w:rPr>
      </w:pPr>
    </w:p>
    <w:p w:rsidR="006C47D8" w:rsidRPr="001A1E85" w:rsidRDefault="006C47D8" w:rsidP="003506D2">
      <w:pPr>
        <w:shd w:val="clear" w:color="auto" w:fill="FFFFFF"/>
        <w:spacing w:after="200" w:line="276" w:lineRule="auto"/>
        <w:ind w:left="284" w:right="14" w:hanging="284"/>
        <w:rPr>
          <w:b/>
          <w:sz w:val="22"/>
          <w:szCs w:val="22"/>
        </w:rPr>
      </w:pPr>
      <w:r w:rsidRPr="001A1E85">
        <w:rPr>
          <w:b/>
          <w:sz w:val="22"/>
          <w:szCs w:val="22"/>
        </w:rPr>
        <w:t>6.</w:t>
      </w:r>
      <w:r w:rsidR="00751887" w:rsidRPr="001A1E85">
        <w:rPr>
          <w:b/>
          <w:sz w:val="22"/>
          <w:szCs w:val="22"/>
        </w:rPr>
        <w:t>1</w:t>
      </w:r>
      <w:r w:rsidRPr="001A1E85">
        <w:rPr>
          <w:b/>
          <w:sz w:val="22"/>
          <w:szCs w:val="22"/>
        </w:rPr>
        <w:t xml:space="preserve">. </w:t>
      </w:r>
      <w:r w:rsidR="00515793" w:rsidRPr="001A1E85">
        <w:rPr>
          <w:b/>
          <w:sz w:val="22"/>
          <w:szCs w:val="22"/>
        </w:rPr>
        <w:t xml:space="preserve">Ιδιοχρησιμοποιούμενα </w:t>
      </w:r>
      <w:r w:rsidRPr="001A1E85">
        <w:rPr>
          <w:b/>
          <w:sz w:val="22"/>
          <w:szCs w:val="22"/>
        </w:rPr>
        <w:t>ενσώματα πάγια περιουσιακά στοιχεία</w:t>
      </w:r>
    </w:p>
    <w:p w:rsidR="00EE5D1B" w:rsidRDefault="00EE5D1B" w:rsidP="003506D2">
      <w:pPr>
        <w:shd w:val="clear" w:color="auto" w:fill="FFFFFF"/>
        <w:spacing w:line="276" w:lineRule="auto"/>
        <w:ind w:left="284" w:right="11" w:hanging="284"/>
        <w:rPr>
          <w:b/>
          <w:sz w:val="22"/>
          <w:szCs w:val="22"/>
          <w:highlight w:val="yellow"/>
        </w:rPr>
      </w:pPr>
    </w:p>
    <w:tbl>
      <w:tblPr>
        <w:tblW w:w="5000" w:type="pct"/>
        <w:tblLook w:val="04A0" w:firstRow="1" w:lastRow="0" w:firstColumn="1" w:lastColumn="0" w:noHBand="0" w:noVBand="1"/>
      </w:tblPr>
      <w:tblGrid>
        <w:gridCol w:w="5053"/>
        <w:gridCol w:w="2526"/>
        <w:gridCol w:w="2143"/>
      </w:tblGrid>
      <w:tr w:rsidR="00A149AB" w:rsidTr="00A149AB">
        <w:trPr>
          <w:trHeight w:val="936"/>
        </w:trPr>
        <w:tc>
          <w:tcPr>
            <w:tcW w:w="2599"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 xml:space="preserve">Πίνακας μεταβολών ενσώματων πάγιων στοιχείων </w:t>
            </w:r>
            <w:proofErr w:type="spellStart"/>
            <w:r>
              <w:rPr>
                <w:b/>
                <w:bCs/>
                <w:color w:val="000000"/>
                <w:sz w:val="22"/>
                <w:szCs w:val="22"/>
              </w:rPr>
              <w:t>ιδιοχρησιμοποιούμενων</w:t>
            </w:r>
            <w:proofErr w:type="spellEnd"/>
          </w:p>
        </w:tc>
        <w:tc>
          <w:tcPr>
            <w:tcW w:w="1299" w:type="pct"/>
            <w:tcBorders>
              <w:top w:val="single" w:sz="12" w:space="0" w:color="auto"/>
              <w:left w:val="nil"/>
              <w:bottom w:val="single" w:sz="12" w:space="0" w:color="auto"/>
              <w:right w:val="single" w:sz="12" w:space="0" w:color="auto"/>
            </w:tcBorders>
            <w:shd w:val="clear" w:color="auto" w:fill="auto"/>
            <w:vAlign w:val="center"/>
            <w:hideMark/>
          </w:tcPr>
          <w:p w:rsidR="00A149AB" w:rsidRDefault="00A149AB">
            <w:pPr>
              <w:jc w:val="center"/>
              <w:rPr>
                <w:b/>
                <w:bCs/>
                <w:color w:val="000000"/>
                <w:sz w:val="22"/>
                <w:szCs w:val="22"/>
              </w:rPr>
            </w:pPr>
            <w:r>
              <w:rPr>
                <w:b/>
                <w:bCs/>
                <w:color w:val="000000"/>
                <w:sz w:val="22"/>
                <w:szCs w:val="22"/>
              </w:rPr>
              <w:t>Μηχανολογικός εξοπλισμός</w:t>
            </w:r>
          </w:p>
        </w:tc>
        <w:tc>
          <w:tcPr>
            <w:tcW w:w="1102" w:type="pct"/>
            <w:tcBorders>
              <w:top w:val="single" w:sz="12" w:space="0" w:color="auto"/>
              <w:left w:val="nil"/>
              <w:bottom w:val="single" w:sz="12" w:space="0" w:color="auto"/>
              <w:right w:val="single" w:sz="12" w:space="0" w:color="auto"/>
            </w:tcBorders>
            <w:shd w:val="clear" w:color="auto" w:fill="auto"/>
            <w:vAlign w:val="center"/>
            <w:hideMark/>
          </w:tcPr>
          <w:p w:rsidR="00A149AB" w:rsidRDefault="00A149AB">
            <w:pPr>
              <w:jc w:val="center"/>
              <w:rPr>
                <w:b/>
                <w:bCs/>
                <w:color w:val="000000"/>
                <w:sz w:val="22"/>
                <w:szCs w:val="22"/>
              </w:rPr>
            </w:pPr>
            <w:r>
              <w:rPr>
                <w:b/>
                <w:bCs/>
                <w:color w:val="000000"/>
                <w:sz w:val="22"/>
                <w:szCs w:val="22"/>
              </w:rPr>
              <w:t>Λοιπός εξοπλισμός</w:t>
            </w:r>
          </w:p>
        </w:tc>
      </w:tr>
      <w:tr w:rsidR="00A149AB" w:rsidTr="00A149AB">
        <w:trPr>
          <w:trHeight w:val="288"/>
        </w:trPr>
        <w:tc>
          <w:tcPr>
            <w:tcW w:w="2599" w:type="pct"/>
            <w:tcBorders>
              <w:top w:val="nil"/>
              <w:left w:val="single" w:sz="12" w:space="0" w:color="auto"/>
              <w:bottom w:val="nil"/>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 xml:space="preserve">Αξία κτήσεως </w:t>
            </w:r>
          </w:p>
        </w:tc>
        <w:tc>
          <w:tcPr>
            <w:tcW w:w="1299" w:type="pct"/>
            <w:tcBorders>
              <w:top w:val="nil"/>
              <w:left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 </w:t>
            </w:r>
          </w:p>
        </w:tc>
        <w:tc>
          <w:tcPr>
            <w:tcW w:w="1102" w:type="pct"/>
            <w:tcBorders>
              <w:top w:val="nil"/>
              <w:left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 </w:t>
            </w:r>
          </w:p>
        </w:tc>
      </w:tr>
      <w:tr w:rsidR="00A149AB" w:rsidTr="00A149AB">
        <w:trPr>
          <w:trHeight w:val="276"/>
        </w:trPr>
        <w:tc>
          <w:tcPr>
            <w:tcW w:w="2599" w:type="pct"/>
            <w:tcBorders>
              <w:top w:val="nil"/>
              <w:left w:val="single" w:sz="12" w:space="0" w:color="auto"/>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Υπόλοιπο 1.1.2020</w:t>
            </w:r>
          </w:p>
        </w:tc>
        <w:tc>
          <w:tcPr>
            <w:tcW w:w="1299" w:type="pct"/>
            <w:tcBorders>
              <w:top w:val="nil"/>
              <w:left w:val="nil"/>
              <w:bottom w:val="single" w:sz="4" w:space="0" w:color="auto"/>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815.563,99</w:t>
            </w:r>
          </w:p>
        </w:tc>
        <w:tc>
          <w:tcPr>
            <w:tcW w:w="1102" w:type="pct"/>
            <w:tcBorders>
              <w:top w:val="nil"/>
              <w:left w:val="nil"/>
              <w:bottom w:val="single" w:sz="4" w:space="0" w:color="auto"/>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77.785,71</w:t>
            </w:r>
          </w:p>
        </w:tc>
      </w:tr>
      <w:tr w:rsidR="00A149AB" w:rsidTr="00A149AB">
        <w:trPr>
          <w:trHeight w:val="288"/>
        </w:trPr>
        <w:tc>
          <w:tcPr>
            <w:tcW w:w="2599" w:type="pct"/>
            <w:tcBorders>
              <w:top w:val="nil"/>
              <w:left w:val="single" w:sz="12" w:space="0" w:color="auto"/>
              <w:bottom w:val="nil"/>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Υπόλοιπο 31.12.2020</w:t>
            </w:r>
          </w:p>
        </w:tc>
        <w:tc>
          <w:tcPr>
            <w:tcW w:w="1299" w:type="pct"/>
            <w:tcBorders>
              <w:top w:val="single" w:sz="4" w:space="0" w:color="auto"/>
              <w:left w:val="nil"/>
              <w:bottom w:val="double" w:sz="6" w:space="0" w:color="auto"/>
              <w:right w:val="single" w:sz="12" w:space="0" w:color="auto"/>
            </w:tcBorders>
            <w:shd w:val="clear" w:color="auto" w:fill="auto"/>
            <w:vAlign w:val="center"/>
            <w:hideMark/>
          </w:tcPr>
          <w:p w:rsidR="00A149AB" w:rsidRPr="00A149AB" w:rsidRDefault="00A149AB">
            <w:pPr>
              <w:jc w:val="right"/>
              <w:rPr>
                <w:b/>
                <w:color w:val="000000"/>
                <w:sz w:val="22"/>
                <w:szCs w:val="22"/>
              </w:rPr>
            </w:pPr>
            <w:r w:rsidRPr="00A149AB">
              <w:rPr>
                <w:b/>
                <w:color w:val="000000"/>
                <w:sz w:val="22"/>
                <w:szCs w:val="22"/>
              </w:rPr>
              <w:t>815.563,99</w:t>
            </w:r>
          </w:p>
        </w:tc>
        <w:tc>
          <w:tcPr>
            <w:tcW w:w="1102" w:type="pct"/>
            <w:tcBorders>
              <w:top w:val="single" w:sz="4" w:space="0" w:color="auto"/>
              <w:left w:val="nil"/>
              <w:bottom w:val="double" w:sz="6" w:space="0" w:color="auto"/>
              <w:right w:val="single" w:sz="12" w:space="0" w:color="auto"/>
            </w:tcBorders>
            <w:shd w:val="clear" w:color="auto" w:fill="auto"/>
            <w:vAlign w:val="center"/>
            <w:hideMark/>
          </w:tcPr>
          <w:p w:rsidR="00A149AB" w:rsidRPr="00A149AB" w:rsidRDefault="00A149AB">
            <w:pPr>
              <w:jc w:val="right"/>
              <w:rPr>
                <w:b/>
                <w:color w:val="000000"/>
                <w:sz w:val="22"/>
                <w:szCs w:val="22"/>
              </w:rPr>
            </w:pPr>
            <w:r w:rsidRPr="00A149AB">
              <w:rPr>
                <w:b/>
                <w:color w:val="000000"/>
                <w:sz w:val="22"/>
                <w:szCs w:val="22"/>
              </w:rPr>
              <w:t>77.785,71</w:t>
            </w:r>
          </w:p>
        </w:tc>
      </w:tr>
      <w:tr w:rsidR="00A149AB" w:rsidTr="00A149AB">
        <w:trPr>
          <w:trHeight w:val="564"/>
        </w:trPr>
        <w:tc>
          <w:tcPr>
            <w:tcW w:w="2599" w:type="pct"/>
            <w:tcBorders>
              <w:top w:val="nil"/>
              <w:left w:val="single" w:sz="12" w:space="0" w:color="auto"/>
              <w:bottom w:val="nil"/>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 xml:space="preserve">Σωρευμένες αποσβέσεις και </w:t>
            </w:r>
            <w:proofErr w:type="spellStart"/>
            <w:r>
              <w:rPr>
                <w:b/>
                <w:bCs/>
                <w:color w:val="000000"/>
                <w:sz w:val="22"/>
                <w:szCs w:val="22"/>
              </w:rPr>
              <w:t>απομειώσεις</w:t>
            </w:r>
            <w:proofErr w:type="spellEnd"/>
          </w:p>
        </w:tc>
        <w:tc>
          <w:tcPr>
            <w:tcW w:w="1299" w:type="pct"/>
            <w:tcBorders>
              <w:top w:val="nil"/>
              <w:left w:val="nil"/>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 </w:t>
            </w:r>
          </w:p>
        </w:tc>
        <w:tc>
          <w:tcPr>
            <w:tcW w:w="1102" w:type="pct"/>
            <w:tcBorders>
              <w:top w:val="nil"/>
              <w:left w:val="nil"/>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 </w:t>
            </w:r>
          </w:p>
        </w:tc>
      </w:tr>
      <w:tr w:rsidR="00A149AB" w:rsidTr="00A149AB">
        <w:trPr>
          <w:trHeight w:val="276"/>
        </w:trPr>
        <w:tc>
          <w:tcPr>
            <w:tcW w:w="2599" w:type="pct"/>
            <w:tcBorders>
              <w:top w:val="nil"/>
              <w:left w:val="single" w:sz="12" w:space="0" w:color="auto"/>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Υπόλοιπο 1.1.2020</w:t>
            </w:r>
          </w:p>
        </w:tc>
        <w:tc>
          <w:tcPr>
            <w:tcW w:w="1299" w:type="pct"/>
            <w:tcBorders>
              <w:top w:val="nil"/>
              <w:left w:val="nil"/>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-811.664,59</w:t>
            </w:r>
          </w:p>
        </w:tc>
        <w:tc>
          <w:tcPr>
            <w:tcW w:w="1102" w:type="pct"/>
            <w:tcBorders>
              <w:top w:val="nil"/>
              <w:left w:val="nil"/>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-76.982,92</w:t>
            </w:r>
          </w:p>
        </w:tc>
      </w:tr>
      <w:tr w:rsidR="00A149AB" w:rsidTr="00A149AB">
        <w:trPr>
          <w:trHeight w:val="276"/>
        </w:trPr>
        <w:tc>
          <w:tcPr>
            <w:tcW w:w="2599" w:type="pct"/>
            <w:tcBorders>
              <w:top w:val="nil"/>
              <w:left w:val="single" w:sz="12" w:space="0" w:color="auto"/>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Αποσβέσεις περιόδου</w:t>
            </w:r>
          </w:p>
        </w:tc>
        <w:tc>
          <w:tcPr>
            <w:tcW w:w="1299" w:type="pct"/>
            <w:tcBorders>
              <w:top w:val="nil"/>
              <w:left w:val="nil"/>
              <w:bottom w:val="single" w:sz="4" w:space="0" w:color="auto"/>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-803,06</w:t>
            </w:r>
          </w:p>
        </w:tc>
        <w:tc>
          <w:tcPr>
            <w:tcW w:w="1102" w:type="pct"/>
            <w:tcBorders>
              <w:top w:val="nil"/>
              <w:left w:val="nil"/>
              <w:bottom w:val="single" w:sz="4" w:space="0" w:color="auto"/>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-549,05</w:t>
            </w:r>
          </w:p>
        </w:tc>
      </w:tr>
      <w:tr w:rsidR="00A149AB" w:rsidTr="00A149AB">
        <w:trPr>
          <w:trHeight w:val="288"/>
        </w:trPr>
        <w:tc>
          <w:tcPr>
            <w:tcW w:w="2599" w:type="pct"/>
            <w:tcBorders>
              <w:top w:val="nil"/>
              <w:left w:val="single" w:sz="12" w:space="0" w:color="auto"/>
              <w:bottom w:val="nil"/>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Υπόλοιπο 31.12.2020</w:t>
            </w:r>
          </w:p>
        </w:tc>
        <w:tc>
          <w:tcPr>
            <w:tcW w:w="1299" w:type="pct"/>
            <w:tcBorders>
              <w:top w:val="single" w:sz="4" w:space="0" w:color="auto"/>
              <w:left w:val="nil"/>
              <w:bottom w:val="double" w:sz="6" w:space="0" w:color="auto"/>
              <w:right w:val="single" w:sz="12" w:space="0" w:color="auto"/>
            </w:tcBorders>
            <w:shd w:val="clear" w:color="auto" w:fill="auto"/>
            <w:vAlign w:val="center"/>
            <w:hideMark/>
          </w:tcPr>
          <w:p w:rsidR="00A149AB" w:rsidRPr="00A149AB" w:rsidRDefault="00A149AB">
            <w:pPr>
              <w:jc w:val="right"/>
              <w:rPr>
                <w:b/>
                <w:color w:val="000000"/>
                <w:sz w:val="22"/>
                <w:szCs w:val="22"/>
              </w:rPr>
            </w:pPr>
            <w:r w:rsidRPr="00A149AB">
              <w:rPr>
                <w:b/>
                <w:color w:val="000000"/>
                <w:sz w:val="22"/>
                <w:szCs w:val="22"/>
              </w:rPr>
              <w:t>-812.467,65</w:t>
            </w:r>
          </w:p>
        </w:tc>
        <w:tc>
          <w:tcPr>
            <w:tcW w:w="1102" w:type="pct"/>
            <w:tcBorders>
              <w:top w:val="single" w:sz="4" w:space="0" w:color="auto"/>
              <w:left w:val="nil"/>
              <w:bottom w:val="double" w:sz="6" w:space="0" w:color="auto"/>
              <w:right w:val="single" w:sz="12" w:space="0" w:color="auto"/>
            </w:tcBorders>
            <w:shd w:val="clear" w:color="auto" w:fill="auto"/>
            <w:vAlign w:val="center"/>
            <w:hideMark/>
          </w:tcPr>
          <w:p w:rsidR="00A149AB" w:rsidRPr="00A149AB" w:rsidRDefault="00A149AB">
            <w:pPr>
              <w:jc w:val="right"/>
              <w:rPr>
                <w:b/>
                <w:color w:val="000000"/>
                <w:sz w:val="22"/>
                <w:szCs w:val="22"/>
              </w:rPr>
            </w:pPr>
            <w:r w:rsidRPr="00A149AB">
              <w:rPr>
                <w:b/>
                <w:color w:val="000000"/>
                <w:sz w:val="22"/>
                <w:szCs w:val="22"/>
              </w:rPr>
              <w:t>-77.531,97</w:t>
            </w:r>
          </w:p>
        </w:tc>
      </w:tr>
      <w:tr w:rsidR="00A149AB" w:rsidTr="00A149AB">
        <w:trPr>
          <w:trHeight w:val="300"/>
        </w:trPr>
        <w:tc>
          <w:tcPr>
            <w:tcW w:w="2599" w:type="pct"/>
            <w:tcBorders>
              <w:top w:val="nil"/>
              <w:left w:val="single" w:sz="12" w:space="0" w:color="auto"/>
              <w:bottom w:val="nil"/>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Καθαρή λογιστική αξία 31.12.2020</w:t>
            </w:r>
          </w:p>
        </w:tc>
        <w:tc>
          <w:tcPr>
            <w:tcW w:w="1299" w:type="pct"/>
            <w:tcBorders>
              <w:top w:val="nil"/>
              <w:left w:val="nil"/>
              <w:bottom w:val="double" w:sz="6" w:space="0" w:color="auto"/>
              <w:right w:val="single" w:sz="12" w:space="0" w:color="auto"/>
            </w:tcBorders>
            <w:shd w:val="clear" w:color="auto" w:fill="auto"/>
            <w:vAlign w:val="center"/>
            <w:hideMark/>
          </w:tcPr>
          <w:p w:rsidR="00A149AB" w:rsidRDefault="00A149AB">
            <w:pPr>
              <w:jc w:val="right"/>
              <w:rPr>
                <w:b/>
                <w:bCs/>
                <w:color w:val="000000"/>
                <w:sz w:val="22"/>
                <w:szCs w:val="22"/>
              </w:rPr>
            </w:pPr>
            <w:r>
              <w:rPr>
                <w:b/>
                <w:bCs/>
                <w:color w:val="000000"/>
                <w:sz w:val="22"/>
                <w:szCs w:val="22"/>
              </w:rPr>
              <w:t>3.096,34</w:t>
            </w:r>
          </w:p>
        </w:tc>
        <w:tc>
          <w:tcPr>
            <w:tcW w:w="1102" w:type="pct"/>
            <w:tcBorders>
              <w:top w:val="nil"/>
              <w:left w:val="nil"/>
              <w:bottom w:val="double" w:sz="6" w:space="0" w:color="auto"/>
              <w:right w:val="single" w:sz="12" w:space="0" w:color="auto"/>
            </w:tcBorders>
            <w:shd w:val="clear" w:color="auto" w:fill="auto"/>
            <w:vAlign w:val="center"/>
            <w:hideMark/>
          </w:tcPr>
          <w:p w:rsidR="00A149AB" w:rsidRDefault="00A149AB">
            <w:pPr>
              <w:jc w:val="right"/>
              <w:rPr>
                <w:b/>
                <w:bCs/>
                <w:color w:val="000000"/>
                <w:sz w:val="22"/>
                <w:szCs w:val="22"/>
              </w:rPr>
            </w:pPr>
            <w:r>
              <w:rPr>
                <w:b/>
                <w:bCs/>
                <w:color w:val="000000"/>
                <w:sz w:val="22"/>
                <w:szCs w:val="22"/>
              </w:rPr>
              <w:t>253,74</w:t>
            </w:r>
          </w:p>
        </w:tc>
      </w:tr>
      <w:tr w:rsidR="00A149AB" w:rsidTr="00A149AB">
        <w:trPr>
          <w:trHeight w:val="288"/>
        </w:trPr>
        <w:tc>
          <w:tcPr>
            <w:tcW w:w="2599" w:type="pct"/>
            <w:tcBorders>
              <w:top w:val="nil"/>
              <w:left w:val="single" w:sz="12" w:space="0" w:color="auto"/>
              <w:bottom w:val="nil"/>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 xml:space="preserve">Αξία κτήσεως </w:t>
            </w:r>
          </w:p>
        </w:tc>
        <w:tc>
          <w:tcPr>
            <w:tcW w:w="1299" w:type="pct"/>
            <w:tcBorders>
              <w:top w:val="nil"/>
              <w:left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 </w:t>
            </w:r>
          </w:p>
        </w:tc>
        <w:tc>
          <w:tcPr>
            <w:tcW w:w="1102" w:type="pct"/>
            <w:tcBorders>
              <w:top w:val="nil"/>
              <w:left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 </w:t>
            </w:r>
          </w:p>
        </w:tc>
      </w:tr>
      <w:tr w:rsidR="00A149AB" w:rsidTr="00A149AB">
        <w:trPr>
          <w:trHeight w:val="276"/>
        </w:trPr>
        <w:tc>
          <w:tcPr>
            <w:tcW w:w="2599" w:type="pct"/>
            <w:tcBorders>
              <w:top w:val="nil"/>
              <w:left w:val="single" w:sz="12" w:space="0" w:color="auto"/>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Υπόλοιπο 1.1.2021</w:t>
            </w:r>
          </w:p>
        </w:tc>
        <w:tc>
          <w:tcPr>
            <w:tcW w:w="1299" w:type="pct"/>
            <w:tcBorders>
              <w:top w:val="nil"/>
              <w:left w:val="nil"/>
              <w:bottom w:val="single" w:sz="4" w:space="0" w:color="auto"/>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815.563,99</w:t>
            </w:r>
          </w:p>
        </w:tc>
        <w:tc>
          <w:tcPr>
            <w:tcW w:w="1102" w:type="pct"/>
            <w:tcBorders>
              <w:top w:val="nil"/>
              <w:left w:val="nil"/>
              <w:bottom w:val="single" w:sz="4" w:space="0" w:color="auto"/>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77.785,71</w:t>
            </w:r>
          </w:p>
        </w:tc>
      </w:tr>
      <w:tr w:rsidR="00A149AB" w:rsidTr="00A149AB">
        <w:trPr>
          <w:trHeight w:val="288"/>
        </w:trPr>
        <w:tc>
          <w:tcPr>
            <w:tcW w:w="2599" w:type="pct"/>
            <w:tcBorders>
              <w:top w:val="nil"/>
              <w:left w:val="single" w:sz="12" w:space="0" w:color="auto"/>
              <w:bottom w:val="nil"/>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Υπόλοιπο 31.12.2021</w:t>
            </w:r>
          </w:p>
        </w:tc>
        <w:tc>
          <w:tcPr>
            <w:tcW w:w="1299" w:type="pct"/>
            <w:tcBorders>
              <w:top w:val="single" w:sz="4" w:space="0" w:color="auto"/>
              <w:left w:val="nil"/>
              <w:bottom w:val="double" w:sz="6" w:space="0" w:color="auto"/>
              <w:right w:val="single" w:sz="12" w:space="0" w:color="auto"/>
            </w:tcBorders>
            <w:shd w:val="clear" w:color="auto" w:fill="auto"/>
            <w:vAlign w:val="center"/>
            <w:hideMark/>
          </w:tcPr>
          <w:p w:rsidR="00A149AB" w:rsidRPr="00A149AB" w:rsidRDefault="00A149AB">
            <w:pPr>
              <w:jc w:val="right"/>
              <w:rPr>
                <w:b/>
                <w:color w:val="000000"/>
                <w:sz w:val="22"/>
                <w:szCs w:val="22"/>
              </w:rPr>
            </w:pPr>
            <w:r w:rsidRPr="00A149AB">
              <w:rPr>
                <w:b/>
                <w:color w:val="000000"/>
                <w:sz w:val="22"/>
                <w:szCs w:val="22"/>
              </w:rPr>
              <w:t>815.563,99</w:t>
            </w:r>
          </w:p>
        </w:tc>
        <w:tc>
          <w:tcPr>
            <w:tcW w:w="1102" w:type="pct"/>
            <w:tcBorders>
              <w:top w:val="single" w:sz="4" w:space="0" w:color="auto"/>
              <w:left w:val="nil"/>
              <w:bottom w:val="double" w:sz="6" w:space="0" w:color="auto"/>
              <w:right w:val="single" w:sz="12" w:space="0" w:color="auto"/>
            </w:tcBorders>
            <w:shd w:val="clear" w:color="auto" w:fill="auto"/>
            <w:vAlign w:val="center"/>
            <w:hideMark/>
          </w:tcPr>
          <w:p w:rsidR="00A149AB" w:rsidRPr="00A149AB" w:rsidRDefault="00A149AB">
            <w:pPr>
              <w:jc w:val="right"/>
              <w:rPr>
                <w:b/>
                <w:color w:val="000000"/>
                <w:sz w:val="22"/>
                <w:szCs w:val="22"/>
              </w:rPr>
            </w:pPr>
            <w:r w:rsidRPr="00A149AB">
              <w:rPr>
                <w:b/>
                <w:color w:val="000000"/>
                <w:sz w:val="22"/>
                <w:szCs w:val="22"/>
              </w:rPr>
              <w:t>77.785,71</w:t>
            </w:r>
          </w:p>
        </w:tc>
      </w:tr>
      <w:tr w:rsidR="00A149AB" w:rsidTr="00A149AB">
        <w:trPr>
          <w:trHeight w:val="564"/>
        </w:trPr>
        <w:tc>
          <w:tcPr>
            <w:tcW w:w="2599" w:type="pct"/>
            <w:tcBorders>
              <w:top w:val="nil"/>
              <w:left w:val="single" w:sz="12" w:space="0" w:color="auto"/>
              <w:bottom w:val="nil"/>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 xml:space="preserve">Σωρευμένες αποσβέσεις και </w:t>
            </w:r>
            <w:proofErr w:type="spellStart"/>
            <w:r>
              <w:rPr>
                <w:b/>
                <w:bCs/>
                <w:color w:val="000000"/>
                <w:sz w:val="22"/>
                <w:szCs w:val="22"/>
              </w:rPr>
              <w:t>απομειώσεις</w:t>
            </w:r>
            <w:proofErr w:type="spellEnd"/>
          </w:p>
        </w:tc>
        <w:tc>
          <w:tcPr>
            <w:tcW w:w="1299" w:type="pct"/>
            <w:tcBorders>
              <w:top w:val="nil"/>
              <w:left w:val="nil"/>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 </w:t>
            </w:r>
          </w:p>
        </w:tc>
        <w:tc>
          <w:tcPr>
            <w:tcW w:w="1102" w:type="pct"/>
            <w:tcBorders>
              <w:top w:val="nil"/>
              <w:left w:val="nil"/>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 </w:t>
            </w:r>
          </w:p>
        </w:tc>
      </w:tr>
      <w:tr w:rsidR="00A149AB" w:rsidTr="00A149AB">
        <w:trPr>
          <w:trHeight w:val="276"/>
        </w:trPr>
        <w:tc>
          <w:tcPr>
            <w:tcW w:w="2599" w:type="pct"/>
            <w:tcBorders>
              <w:top w:val="nil"/>
              <w:left w:val="single" w:sz="12" w:space="0" w:color="auto"/>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Υπόλοιπο 1.1.2021</w:t>
            </w:r>
          </w:p>
        </w:tc>
        <w:tc>
          <w:tcPr>
            <w:tcW w:w="1299" w:type="pct"/>
            <w:tcBorders>
              <w:top w:val="nil"/>
              <w:left w:val="nil"/>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-812.467,65</w:t>
            </w:r>
          </w:p>
        </w:tc>
        <w:tc>
          <w:tcPr>
            <w:tcW w:w="1102" w:type="pct"/>
            <w:tcBorders>
              <w:top w:val="nil"/>
              <w:left w:val="nil"/>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-77.531,97</w:t>
            </w:r>
          </w:p>
        </w:tc>
      </w:tr>
      <w:tr w:rsidR="00A149AB" w:rsidTr="00A149AB">
        <w:trPr>
          <w:trHeight w:val="276"/>
        </w:trPr>
        <w:tc>
          <w:tcPr>
            <w:tcW w:w="2599" w:type="pct"/>
            <w:tcBorders>
              <w:top w:val="nil"/>
              <w:left w:val="single" w:sz="12" w:space="0" w:color="auto"/>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Αποσβέσεις περιόδου</w:t>
            </w:r>
          </w:p>
        </w:tc>
        <w:tc>
          <w:tcPr>
            <w:tcW w:w="1299" w:type="pct"/>
            <w:tcBorders>
              <w:top w:val="nil"/>
              <w:left w:val="nil"/>
              <w:bottom w:val="single" w:sz="4" w:space="0" w:color="auto"/>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-803,06</w:t>
            </w:r>
          </w:p>
        </w:tc>
        <w:tc>
          <w:tcPr>
            <w:tcW w:w="1102" w:type="pct"/>
            <w:tcBorders>
              <w:top w:val="nil"/>
              <w:left w:val="nil"/>
              <w:bottom w:val="single" w:sz="4" w:space="0" w:color="auto"/>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-52,60</w:t>
            </w:r>
          </w:p>
        </w:tc>
      </w:tr>
      <w:tr w:rsidR="00A149AB" w:rsidTr="00A149AB">
        <w:trPr>
          <w:trHeight w:val="288"/>
        </w:trPr>
        <w:tc>
          <w:tcPr>
            <w:tcW w:w="2599" w:type="pct"/>
            <w:tcBorders>
              <w:top w:val="nil"/>
              <w:left w:val="single" w:sz="12" w:space="0" w:color="auto"/>
              <w:bottom w:val="nil"/>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Υπόλοιπο 31.12.2021</w:t>
            </w:r>
          </w:p>
        </w:tc>
        <w:tc>
          <w:tcPr>
            <w:tcW w:w="1299" w:type="pct"/>
            <w:tcBorders>
              <w:top w:val="single" w:sz="4" w:space="0" w:color="auto"/>
              <w:left w:val="nil"/>
              <w:bottom w:val="double" w:sz="6" w:space="0" w:color="auto"/>
              <w:right w:val="single" w:sz="12" w:space="0" w:color="auto"/>
            </w:tcBorders>
            <w:shd w:val="clear" w:color="auto" w:fill="auto"/>
            <w:vAlign w:val="center"/>
            <w:hideMark/>
          </w:tcPr>
          <w:p w:rsidR="00A149AB" w:rsidRPr="00A149AB" w:rsidRDefault="00A149AB">
            <w:pPr>
              <w:jc w:val="right"/>
              <w:rPr>
                <w:b/>
                <w:color w:val="000000"/>
                <w:sz w:val="22"/>
                <w:szCs w:val="22"/>
              </w:rPr>
            </w:pPr>
            <w:r w:rsidRPr="00A149AB">
              <w:rPr>
                <w:b/>
                <w:color w:val="000000"/>
                <w:sz w:val="22"/>
                <w:szCs w:val="22"/>
              </w:rPr>
              <w:t>-813.270,71</w:t>
            </w:r>
          </w:p>
        </w:tc>
        <w:tc>
          <w:tcPr>
            <w:tcW w:w="1102" w:type="pct"/>
            <w:tcBorders>
              <w:top w:val="single" w:sz="4" w:space="0" w:color="auto"/>
              <w:left w:val="nil"/>
              <w:bottom w:val="double" w:sz="6" w:space="0" w:color="auto"/>
              <w:right w:val="single" w:sz="12" w:space="0" w:color="auto"/>
            </w:tcBorders>
            <w:shd w:val="clear" w:color="auto" w:fill="auto"/>
            <w:vAlign w:val="center"/>
            <w:hideMark/>
          </w:tcPr>
          <w:p w:rsidR="00A149AB" w:rsidRPr="00A149AB" w:rsidRDefault="00A149AB">
            <w:pPr>
              <w:jc w:val="right"/>
              <w:rPr>
                <w:b/>
                <w:color w:val="000000"/>
                <w:sz w:val="22"/>
                <w:szCs w:val="22"/>
              </w:rPr>
            </w:pPr>
            <w:r w:rsidRPr="00A149AB">
              <w:rPr>
                <w:b/>
                <w:color w:val="000000"/>
                <w:sz w:val="22"/>
                <w:szCs w:val="22"/>
              </w:rPr>
              <w:t>-77.584,57</w:t>
            </w:r>
          </w:p>
        </w:tc>
      </w:tr>
      <w:tr w:rsidR="00A149AB" w:rsidTr="00A149AB">
        <w:trPr>
          <w:trHeight w:val="300"/>
        </w:trPr>
        <w:tc>
          <w:tcPr>
            <w:tcW w:w="2599" w:type="pct"/>
            <w:tcBorders>
              <w:top w:val="nil"/>
              <w:left w:val="single" w:sz="12" w:space="0" w:color="auto"/>
              <w:bottom w:val="single" w:sz="12" w:space="0" w:color="auto"/>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Καθαρή λογιστική αξία 31.12.2021</w:t>
            </w:r>
          </w:p>
        </w:tc>
        <w:tc>
          <w:tcPr>
            <w:tcW w:w="1299" w:type="pct"/>
            <w:tcBorders>
              <w:top w:val="nil"/>
              <w:left w:val="nil"/>
              <w:bottom w:val="double" w:sz="6" w:space="0" w:color="auto"/>
              <w:right w:val="single" w:sz="12" w:space="0" w:color="auto"/>
            </w:tcBorders>
            <w:shd w:val="clear" w:color="auto" w:fill="auto"/>
            <w:vAlign w:val="center"/>
            <w:hideMark/>
          </w:tcPr>
          <w:p w:rsidR="00A149AB" w:rsidRDefault="00A149AB">
            <w:pPr>
              <w:jc w:val="right"/>
              <w:rPr>
                <w:b/>
                <w:bCs/>
                <w:color w:val="000000"/>
                <w:sz w:val="22"/>
                <w:szCs w:val="22"/>
              </w:rPr>
            </w:pPr>
            <w:r>
              <w:rPr>
                <w:b/>
                <w:bCs/>
                <w:color w:val="000000"/>
                <w:sz w:val="22"/>
                <w:szCs w:val="22"/>
              </w:rPr>
              <w:t>2.293,28</w:t>
            </w:r>
          </w:p>
        </w:tc>
        <w:tc>
          <w:tcPr>
            <w:tcW w:w="1102" w:type="pct"/>
            <w:tcBorders>
              <w:top w:val="nil"/>
              <w:left w:val="nil"/>
              <w:bottom w:val="double" w:sz="6" w:space="0" w:color="auto"/>
              <w:right w:val="single" w:sz="12" w:space="0" w:color="auto"/>
            </w:tcBorders>
            <w:shd w:val="clear" w:color="auto" w:fill="auto"/>
            <w:vAlign w:val="center"/>
            <w:hideMark/>
          </w:tcPr>
          <w:p w:rsidR="00A149AB" w:rsidRDefault="00A149AB">
            <w:pPr>
              <w:jc w:val="right"/>
              <w:rPr>
                <w:b/>
                <w:bCs/>
                <w:color w:val="000000"/>
                <w:sz w:val="22"/>
                <w:szCs w:val="22"/>
              </w:rPr>
            </w:pPr>
            <w:r>
              <w:rPr>
                <w:b/>
                <w:bCs/>
                <w:color w:val="000000"/>
                <w:sz w:val="22"/>
                <w:szCs w:val="22"/>
              </w:rPr>
              <w:t>201,14</w:t>
            </w:r>
          </w:p>
        </w:tc>
      </w:tr>
    </w:tbl>
    <w:p w:rsidR="00A258EC" w:rsidRPr="00A131AE" w:rsidRDefault="00A258EC" w:rsidP="003506D2">
      <w:pPr>
        <w:shd w:val="clear" w:color="auto" w:fill="FFFFFF"/>
        <w:spacing w:line="276" w:lineRule="auto"/>
        <w:ind w:left="284" w:right="11" w:hanging="284"/>
        <w:rPr>
          <w:b/>
          <w:sz w:val="22"/>
          <w:szCs w:val="22"/>
          <w:highlight w:val="yellow"/>
        </w:rPr>
      </w:pPr>
    </w:p>
    <w:p w:rsidR="00917343" w:rsidRPr="00B45F92" w:rsidRDefault="00917343" w:rsidP="00B82D0D">
      <w:pPr>
        <w:shd w:val="clear" w:color="auto" w:fill="FFFFFF"/>
        <w:spacing w:after="200" w:line="276" w:lineRule="auto"/>
        <w:ind w:left="284" w:right="14" w:hanging="284"/>
        <w:rPr>
          <w:b/>
          <w:sz w:val="22"/>
          <w:szCs w:val="22"/>
        </w:rPr>
      </w:pPr>
      <w:r w:rsidRPr="00B45F92">
        <w:rPr>
          <w:b/>
          <w:sz w:val="22"/>
          <w:szCs w:val="22"/>
        </w:rPr>
        <w:t>6.</w:t>
      </w:r>
      <w:r w:rsidR="00751887" w:rsidRPr="00B45F92">
        <w:rPr>
          <w:b/>
          <w:sz w:val="22"/>
          <w:szCs w:val="22"/>
        </w:rPr>
        <w:t>2</w:t>
      </w:r>
      <w:r w:rsidRPr="00B45F92">
        <w:rPr>
          <w:b/>
          <w:sz w:val="22"/>
          <w:szCs w:val="22"/>
        </w:rPr>
        <w:t>. Επενδυτικά ακίνητα</w:t>
      </w:r>
    </w:p>
    <w:tbl>
      <w:tblPr>
        <w:tblW w:w="5000" w:type="pct"/>
        <w:tblLook w:val="04A0" w:firstRow="1" w:lastRow="0" w:firstColumn="1" w:lastColumn="0" w:noHBand="0" w:noVBand="1"/>
      </w:tblPr>
      <w:tblGrid>
        <w:gridCol w:w="5089"/>
        <w:gridCol w:w="2409"/>
        <w:gridCol w:w="2224"/>
      </w:tblGrid>
      <w:tr w:rsidR="00B45F92" w:rsidTr="00250935">
        <w:tc>
          <w:tcPr>
            <w:tcW w:w="2617"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B45F92" w:rsidRDefault="00B45F92" w:rsidP="003506D2">
            <w:pPr>
              <w:spacing w:line="276" w:lineRule="auto"/>
              <w:rPr>
                <w:b/>
                <w:bCs/>
                <w:color w:val="000000"/>
                <w:sz w:val="22"/>
                <w:szCs w:val="22"/>
              </w:rPr>
            </w:pPr>
            <w:r>
              <w:rPr>
                <w:b/>
                <w:bCs/>
                <w:color w:val="000000"/>
                <w:sz w:val="22"/>
                <w:szCs w:val="22"/>
              </w:rPr>
              <w:t>Πίνακας μεταβολών επενδυτικών ακινήτων</w:t>
            </w:r>
          </w:p>
        </w:tc>
        <w:tc>
          <w:tcPr>
            <w:tcW w:w="1239" w:type="pct"/>
            <w:tcBorders>
              <w:top w:val="single" w:sz="12" w:space="0" w:color="auto"/>
              <w:left w:val="nil"/>
              <w:bottom w:val="single" w:sz="12" w:space="0" w:color="auto"/>
              <w:right w:val="single" w:sz="12" w:space="0" w:color="auto"/>
            </w:tcBorders>
            <w:shd w:val="clear" w:color="auto" w:fill="auto"/>
            <w:vAlign w:val="center"/>
            <w:hideMark/>
          </w:tcPr>
          <w:p w:rsidR="00B45F92" w:rsidRDefault="00B45F92" w:rsidP="003506D2">
            <w:pPr>
              <w:spacing w:line="276" w:lineRule="auto"/>
              <w:jc w:val="center"/>
              <w:rPr>
                <w:b/>
                <w:bCs/>
                <w:color w:val="000000"/>
                <w:sz w:val="22"/>
                <w:szCs w:val="22"/>
              </w:rPr>
            </w:pPr>
            <w:r>
              <w:rPr>
                <w:b/>
                <w:bCs/>
                <w:color w:val="000000"/>
                <w:sz w:val="22"/>
                <w:szCs w:val="22"/>
              </w:rPr>
              <w:t>Γήπεδα</w:t>
            </w:r>
          </w:p>
        </w:tc>
        <w:tc>
          <w:tcPr>
            <w:tcW w:w="1144" w:type="pct"/>
            <w:tcBorders>
              <w:top w:val="single" w:sz="12" w:space="0" w:color="auto"/>
              <w:left w:val="nil"/>
              <w:bottom w:val="single" w:sz="12" w:space="0" w:color="auto"/>
              <w:right w:val="single" w:sz="12" w:space="0" w:color="auto"/>
            </w:tcBorders>
            <w:shd w:val="clear" w:color="auto" w:fill="auto"/>
            <w:vAlign w:val="center"/>
            <w:hideMark/>
          </w:tcPr>
          <w:p w:rsidR="00B45F92" w:rsidRDefault="00B45F92" w:rsidP="003506D2">
            <w:pPr>
              <w:spacing w:line="276" w:lineRule="auto"/>
              <w:jc w:val="center"/>
              <w:rPr>
                <w:b/>
                <w:bCs/>
                <w:color w:val="000000"/>
                <w:sz w:val="22"/>
                <w:szCs w:val="22"/>
              </w:rPr>
            </w:pPr>
            <w:r>
              <w:rPr>
                <w:b/>
                <w:bCs/>
                <w:color w:val="000000"/>
                <w:sz w:val="22"/>
                <w:szCs w:val="22"/>
              </w:rPr>
              <w:t>Σύνολο</w:t>
            </w:r>
          </w:p>
        </w:tc>
      </w:tr>
      <w:tr w:rsidR="00B45F92" w:rsidTr="00250935">
        <w:tc>
          <w:tcPr>
            <w:tcW w:w="2617" w:type="pct"/>
            <w:tcBorders>
              <w:top w:val="nil"/>
              <w:left w:val="single" w:sz="12" w:space="0" w:color="auto"/>
              <w:bottom w:val="nil"/>
              <w:right w:val="single" w:sz="12" w:space="0" w:color="auto"/>
            </w:tcBorders>
            <w:shd w:val="clear" w:color="auto" w:fill="auto"/>
            <w:vAlign w:val="center"/>
            <w:hideMark/>
          </w:tcPr>
          <w:p w:rsidR="00B45F92" w:rsidRDefault="00B45F92" w:rsidP="003506D2">
            <w:pPr>
              <w:spacing w:line="276" w:lineRule="auto"/>
              <w:rPr>
                <w:b/>
                <w:bCs/>
                <w:color w:val="000000"/>
                <w:sz w:val="22"/>
                <w:szCs w:val="22"/>
              </w:rPr>
            </w:pPr>
            <w:r>
              <w:rPr>
                <w:b/>
                <w:bCs/>
                <w:color w:val="000000"/>
                <w:sz w:val="22"/>
                <w:szCs w:val="22"/>
              </w:rPr>
              <w:t xml:space="preserve">Αξία κτήσεως </w:t>
            </w:r>
          </w:p>
        </w:tc>
        <w:tc>
          <w:tcPr>
            <w:tcW w:w="1239" w:type="pct"/>
            <w:tcBorders>
              <w:top w:val="nil"/>
              <w:left w:val="nil"/>
              <w:bottom w:val="nil"/>
              <w:right w:val="single" w:sz="12" w:space="0" w:color="auto"/>
            </w:tcBorders>
            <w:shd w:val="clear" w:color="auto" w:fill="auto"/>
            <w:vAlign w:val="center"/>
            <w:hideMark/>
          </w:tcPr>
          <w:p w:rsidR="00B45F92" w:rsidRDefault="00B45F92" w:rsidP="003506D2">
            <w:pPr>
              <w:spacing w:line="276" w:lineRule="auto"/>
              <w:rPr>
                <w:color w:val="000000"/>
                <w:sz w:val="22"/>
                <w:szCs w:val="22"/>
              </w:rPr>
            </w:pPr>
            <w:r>
              <w:rPr>
                <w:color w:val="000000"/>
                <w:sz w:val="22"/>
                <w:szCs w:val="22"/>
              </w:rPr>
              <w:t> </w:t>
            </w:r>
          </w:p>
        </w:tc>
        <w:tc>
          <w:tcPr>
            <w:tcW w:w="1144" w:type="pct"/>
            <w:tcBorders>
              <w:top w:val="nil"/>
              <w:left w:val="nil"/>
              <w:bottom w:val="nil"/>
              <w:right w:val="single" w:sz="12" w:space="0" w:color="auto"/>
            </w:tcBorders>
            <w:shd w:val="clear" w:color="auto" w:fill="auto"/>
            <w:vAlign w:val="center"/>
            <w:hideMark/>
          </w:tcPr>
          <w:p w:rsidR="00B45F92" w:rsidRDefault="00B45F92" w:rsidP="003506D2">
            <w:pPr>
              <w:spacing w:line="276" w:lineRule="auto"/>
              <w:rPr>
                <w:color w:val="000000"/>
                <w:sz w:val="22"/>
                <w:szCs w:val="22"/>
              </w:rPr>
            </w:pPr>
            <w:r>
              <w:rPr>
                <w:color w:val="000000"/>
                <w:sz w:val="22"/>
                <w:szCs w:val="22"/>
              </w:rPr>
              <w:t> </w:t>
            </w:r>
          </w:p>
        </w:tc>
      </w:tr>
      <w:tr w:rsidR="00B45F92" w:rsidTr="00250935">
        <w:tc>
          <w:tcPr>
            <w:tcW w:w="2617" w:type="pct"/>
            <w:tcBorders>
              <w:top w:val="nil"/>
              <w:left w:val="single" w:sz="12" w:space="0" w:color="auto"/>
              <w:bottom w:val="nil"/>
              <w:right w:val="single" w:sz="12" w:space="0" w:color="auto"/>
            </w:tcBorders>
            <w:shd w:val="clear" w:color="auto" w:fill="auto"/>
            <w:vAlign w:val="center"/>
            <w:hideMark/>
          </w:tcPr>
          <w:p w:rsidR="00B45F92" w:rsidRDefault="00A149AB" w:rsidP="003506D2">
            <w:pPr>
              <w:spacing w:line="276" w:lineRule="auto"/>
              <w:rPr>
                <w:color w:val="000000"/>
                <w:sz w:val="22"/>
                <w:szCs w:val="22"/>
              </w:rPr>
            </w:pPr>
            <w:r>
              <w:rPr>
                <w:color w:val="000000"/>
                <w:sz w:val="22"/>
                <w:szCs w:val="22"/>
              </w:rPr>
              <w:t>Υπόλοιπο 1.1.2020</w:t>
            </w:r>
          </w:p>
        </w:tc>
        <w:tc>
          <w:tcPr>
            <w:tcW w:w="1239" w:type="pct"/>
            <w:tcBorders>
              <w:top w:val="nil"/>
              <w:left w:val="nil"/>
              <w:bottom w:val="single" w:sz="2" w:space="0" w:color="auto"/>
              <w:right w:val="single" w:sz="12" w:space="0" w:color="auto"/>
            </w:tcBorders>
            <w:shd w:val="clear" w:color="auto" w:fill="auto"/>
            <w:vAlign w:val="center"/>
            <w:hideMark/>
          </w:tcPr>
          <w:p w:rsidR="00B45F92" w:rsidRDefault="00B45F92" w:rsidP="003506D2">
            <w:pPr>
              <w:spacing w:line="276" w:lineRule="auto"/>
              <w:jc w:val="right"/>
              <w:rPr>
                <w:color w:val="000000"/>
                <w:sz w:val="22"/>
                <w:szCs w:val="22"/>
              </w:rPr>
            </w:pPr>
            <w:r>
              <w:rPr>
                <w:color w:val="000000"/>
                <w:sz w:val="22"/>
                <w:szCs w:val="22"/>
              </w:rPr>
              <w:t>59.430,00</w:t>
            </w:r>
          </w:p>
        </w:tc>
        <w:tc>
          <w:tcPr>
            <w:tcW w:w="1144" w:type="pct"/>
            <w:tcBorders>
              <w:top w:val="nil"/>
              <w:left w:val="nil"/>
              <w:bottom w:val="single" w:sz="2" w:space="0" w:color="auto"/>
              <w:right w:val="single" w:sz="12" w:space="0" w:color="auto"/>
            </w:tcBorders>
            <w:shd w:val="clear" w:color="auto" w:fill="auto"/>
            <w:vAlign w:val="center"/>
            <w:hideMark/>
          </w:tcPr>
          <w:p w:rsidR="00B45F92" w:rsidRDefault="00B45F92" w:rsidP="003506D2">
            <w:pPr>
              <w:spacing w:line="276" w:lineRule="auto"/>
              <w:jc w:val="right"/>
              <w:rPr>
                <w:color w:val="000000"/>
                <w:sz w:val="22"/>
                <w:szCs w:val="22"/>
              </w:rPr>
            </w:pPr>
            <w:r>
              <w:rPr>
                <w:color w:val="000000"/>
                <w:sz w:val="22"/>
                <w:szCs w:val="22"/>
              </w:rPr>
              <w:t>59.430,00</w:t>
            </w:r>
          </w:p>
        </w:tc>
      </w:tr>
      <w:tr w:rsidR="00B45F92" w:rsidTr="00250935">
        <w:tc>
          <w:tcPr>
            <w:tcW w:w="2617" w:type="pct"/>
            <w:tcBorders>
              <w:top w:val="nil"/>
              <w:left w:val="single" w:sz="12" w:space="0" w:color="auto"/>
              <w:bottom w:val="nil"/>
              <w:right w:val="single" w:sz="12" w:space="0" w:color="auto"/>
            </w:tcBorders>
            <w:shd w:val="clear" w:color="auto" w:fill="auto"/>
            <w:vAlign w:val="center"/>
            <w:hideMark/>
          </w:tcPr>
          <w:p w:rsidR="00B45F92" w:rsidRDefault="00A149AB" w:rsidP="003506D2">
            <w:pPr>
              <w:spacing w:line="276" w:lineRule="auto"/>
              <w:rPr>
                <w:b/>
                <w:bCs/>
                <w:color w:val="000000"/>
                <w:sz w:val="22"/>
                <w:szCs w:val="22"/>
              </w:rPr>
            </w:pPr>
            <w:r>
              <w:rPr>
                <w:b/>
                <w:bCs/>
                <w:color w:val="000000"/>
                <w:sz w:val="22"/>
                <w:szCs w:val="22"/>
              </w:rPr>
              <w:t>Υπόλοιπο 31.12.2020</w:t>
            </w:r>
          </w:p>
        </w:tc>
        <w:tc>
          <w:tcPr>
            <w:tcW w:w="1239" w:type="pct"/>
            <w:tcBorders>
              <w:top w:val="single" w:sz="2" w:space="0" w:color="auto"/>
              <w:left w:val="nil"/>
              <w:bottom w:val="double" w:sz="6" w:space="0" w:color="auto"/>
              <w:right w:val="single" w:sz="12" w:space="0" w:color="auto"/>
            </w:tcBorders>
            <w:shd w:val="clear" w:color="auto" w:fill="auto"/>
            <w:vAlign w:val="center"/>
            <w:hideMark/>
          </w:tcPr>
          <w:p w:rsidR="00B45F92" w:rsidRPr="00A149AB" w:rsidRDefault="00B45F92" w:rsidP="003506D2">
            <w:pPr>
              <w:spacing w:line="276" w:lineRule="auto"/>
              <w:jc w:val="right"/>
              <w:rPr>
                <w:b/>
                <w:color w:val="000000"/>
                <w:sz w:val="22"/>
                <w:szCs w:val="22"/>
              </w:rPr>
            </w:pPr>
            <w:r w:rsidRPr="00A149AB">
              <w:rPr>
                <w:b/>
                <w:color w:val="000000"/>
                <w:sz w:val="22"/>
                <w:szCs w:val="22"/>
              </w:rPr>
              <w:t>59.430,00</w:t>
            </w:r>
          </w:p>
        </w:tc>
        <w:tc>
          <w:tcPr>
            <w:tcW w:w="1144" w:type="pct"/>
            <w:tcBorders>
              <w:top w:val="single" w:sz="2" w:space="0" w:color="auto"/>
              <w:left w:val="nil"/>
              <w:bottom w:val="double" w:sz="6" w:space="0" w:color="auto"/>
              <w:right w:val="single" w:sz="12" w:space="0" w:color="auto"/>
            </w:tcBorders>
            <w:shd w:val="clear" w:color="auto" w:fill="auto"/>
            <w:vAlign w:val="center"/>
            <w:hideMark/>
          </w:tcPr>
          <w:p w:rsidR="00B45F92" w:rsidRPr="00A149AB" w:rsidRDefault="00B45F92" w:rsidP="003506D2">
            <w:pPr>
              <w:spacing w:line="276" w:lineRule="auto"/>
              <w:jc w:val="right"/>
              <w:rPr>
                <w:b/>
                <w:color w:val="000000"/>
                <w:sz w:val="22"/>
                <w:szCs w:val="22"/>
              </w:rPr>
            </w:pPr>
            <w:r w:rsidRPr="00A149AB">
              <w:rPr>
                <w:b/>
                <w:color w:val="000000"/>
                <w:sz w:val="22"/>
                <w:szCs w:val="22"/>
              </w:rPr>
              <w:t>59.430,00</w:t>
            </w:r>
          </w:p>
        </w:tc>
      </w:tr>
      <w:tr w:rsidR="00B45F92" w:rsidTr="00250935">
        <w:tc>
          <w:tcPr>
            <w:tcW w:w="2617" w:type="pct"/>
            <w:tcBorders>
              <w:top w:val="nil"/>
              <w:left w:val="single" w:sz="12" w:space="0" w:color="auto"/>
              <w:bottom w:val="nil"/>
              <w:right w:val="single" w:sz="12" w:space="0" w:color="auto"/>
            </w:tcBorders>
            <w:shd w:val="clear" w:color="auto" w:fill="auto"/>
            <w:vAlign w:val="center"/>
            <w:hideMark/>
          </w:tcPr>
          <w:p w:rsidR="00B45F92" w:rsidRDefault="00A149AB" w:rsidP="003506D2">
            <w:pPr>
              <w:spacing w:line="276" w:lineRule="auto"/>
              <w:rPr>
                <w:b/>
                <w:bCs/>
                <w:color w:val="000000"/>
                <w:sz w:val="22"/>
                <w:szCs w:val="22"/>
              </w:rPr>
            </w:pPr>
            <w:r>
              <w:rPr>
                <w:b/>
                <w:bCs/>
                <w:color w:val="000000"/>
                <w:sz w:val="22"/>
                <w:szCs w:val="22"/>
              </w:rPr>
              <w:t>Καθαρή λογιστική αξία 31.12.2020</w:t>
            </w:r>
          </w:p>
        </w:tc>
        <w:tc>
          <w:tcPr>
            <w:tcW w:w="1239" w:type="pct"/>
            <w:tcBorders>
              <w:top w:val="nil"/>
              <w:left w:val="nil"/>
              <w:bottom w:val="double" w:sz="6" w:space="0" w:color="auto"/>
              <w:right w:val="single" w:sz="12" w:space="0" w:color="auto"/>
            </w:tcBorders>
            <w:shd w:val="clear" w:color="auto" w:fill="auto"/>
            <w:vAlign w:val="center"/>
            <w:hideMark/>
          </w:tcPr>
          <w:p w:rsidR="00B45F92" w:rsidRDefault="00B45F92" w:rsidP="003506D2">
            <w:pPr>
              <w:spacing w:line="276" w:lineRule="auto"/>
              <w:jc w:val="right"/>
              <w:rPr>
                <w:b/>
                <w:bCs/>
                <w:color w:val="000000"/>
                <w:sz w:val="22"/>
                <w:szCs w:val="22"/>
              </w:rPr>
            </w:pPr>
            <w:r>
              <w:rPr>
                <w:b/>
                <w:bCs/>
                <w:color w:val="000000"/>
                <w:sz w:val="22"/>
                <w:szCs w:val="22"/>
              </w:rPr>
              <w:t>59.430,00</w:t>
            </w:r>
          </w:p>
        </w:tc>
        <w:tc>
          <w:tcPr>
            <w:tcW w:w="1144" w:type="pct"/>
            <w:tcBorders>
              <w:top w:val="nil"/>
              <w:left w:val="nil"/>
              <w:bottom w:val="double" w:sz="6" w:space="0" w:color="auto"/>
              <w:right w:val="single" w:sz="12" w:space="0" w:color="auto"/>
            </w:tcBorders>
            <w:shd w:val="clear" w:color="auto" w:fill="auto"/>
            <w:vAlign w:val="center"/>
            <w:hideMark/>
          </w:tcPr>
          <w:p w:rsidR="00B45F92" w:rsidRDefault="00B45F92" w:rsidP="003506D2">
            <w:pPr>
              <w:spacing w:line="276" w:lineRule="auto"/>
              <w:jc w:val="right"/>
              <w:rPr>
                <w:b/>
                <w:bCs/>
                <w:color w:val="000000"/>
                <w:sz w:val="22"/>
                <w:szCs w:val="22"/>
              </w:rPr>
            </w:pPr>
            <w:r>
              <w:rPr>
                <w:b/>
                <w:bCs/>
                <w:color w:val="000000"/>
                <w:sz w:val="22"/>
                <w:szCs w:val="22"/>
              </w:rPr>
              <w:t>59.430,00</w:t>
            </w:r>
          </w:p>
        </w:tc>
      </w:tr>
      <w:tr w:rsidR="00B45F92" w:rsidTr="00250935">
        <w:tc>
          <w:tcPr>
            <w:tcW w:w="2617" w:type="pct"/>
            <w:tcBorders>
              <w:top w:val="nil"/>
              <w:left w:val="single" w:sz="12" w:space="0" w:color="auto"/>
              <w:bottom w:val="nil"/>
              <w:right w:val="single" w:sz="12" w:space="0" w:color="auto"/>
            </w:tcBorders>
            <w:shd w:val="clear" w:color="auto" w:fill="auto"/>
            <w:vAlign w:val="center"/>
            <w:hideMark/>
          </w:tcPr>
          <w:p w:rsidR="00B45F92" w:rsidRDefault="00B45F92" w:rsidP="003506D2">
            <w:pPr>
              <w:spacing w:line="276" w:lineRule="auto"/>
              <w:rPr>
                <w:b/>
                <w:bCs/>
                <w:color w:val="000000"/>
                <w:sz w:val="22"/>
                <w:szCs w:val="22"/>
              </w:rPr>
            </w:pPr>
            <w:r>
              <w:rPr>
                <w:b/>
                <w:bCs/>
                <w:color w:val="000000"/>
                <w:sz w:val="22"/>
                <w:szCs w:val="22"/>
              </w:rPr>
              <w:t xml:space="preserve">Αξία κτήσεως </w:t>
            </w:r>
          </w:p>
        </w:tc>
        <w:tc>
          <w:tcPr>
            <w:tcW w:w="1239" w:type="pct"/>
            <w:tcBorders>
              <w:top w:val="nil"/>
              <w:left w:val="nil"/>
              <w:bottom w:val="nil"/>
              <w:right w:val="single" w:sz="12" w:space="0" w:color="auto"/>
            </w:tcBorders>
            <w:shd w:val="clear" w:color="auto" w:fill="auto"/>
            <w:vAlign w:val="center"/>
            <w:hideMark/>
          </w:tcPr>
          <w:p w:rsidR="00B45F92" w:rsidRDefault="00B45F92" w:rsidP="003506D2">
            <w:pPr>
              <w:spacing w:line="276" w:lineRule="auto"/>
              <w:rPr>
                <w:color w:val="000000"/>
                <w:sz w:val="22"/>
                <w:szCs w:val="22"/>
              </w:rPr>
            </w:pPr>
            <w:r>
              <w:rPr>
                <w:color w:val="000000"/>
                <w:sz w:val="22"/>
                <w:szCs w:val="22"/>
              </w:rPr>
              <w:t> </w:t>
            </w:r>
          </w:p>
        </w:tc>
        <w:tc>
          <w:tcPr>
            <w:tcW w:w="1144" w:type="pct"/>
            <w:tcBorders>
              <w:top w:val="nil"/>
              <w:left w:val="nil"/>
              <w:bottom w:val="nil"/>
              <w:right w:val="single" w:sz="12" w:space="0" w:color="auto"/>
            </w:tcBorders>
            <w:shd w:val="clear" w:color="auto" w:fill="auto"/>
            <w:vAlign w:val="center"/>
            <w:hideMark/>
          </w:tcPr>
          <w:p w:rsidR="00B45F92" w:rsidRDefault="00B45F92" w:rsidP="003506D2">
            <w:pPr>
              <w:spacing w:line="276" w:lineRule="auto"/>
              <w:rPr>
                <w:color w:val="000000"/>
                <w:sz w:val="22"/>
                <w:szCs w:val="22"/>
              </w:rPr>
            </w:pPr>
            <w:r>
              <w:rPr>
                <w:color w:val="000000"/>
                <w:sz w:val="22"/>
                <w:szCs w:val="22"/>
              </w:rPr>
              <w:t> </w:t>
            </w:r>
          </w:p>
        </w:tc>
      </w:tr>
      <w:tr w:rsidR="00B45F92" w:rsidTr="00250935">
        <w:tc>
          <w:tcPr>
            <w:tcW w:w="2617" w:type="pct"/>
            <w:tcBorders>
              <w:top w:val="nil"/>
              <w:left w:val="single" w:sz="12" w:space="0" w:color="auto"/>
              <w:bottom w:val="nil"/>
              <w:right w:val="single" w:sz="12" w:space="0" w:color="auto"/>
            </w:tcBorders>
            <w:shd w:val="clear" w:color="auto" w:fill="auto"/>
            <w:vAlign w:val="center"/>
            <w:hideMark/>
          </w:tcPr>
          <w:p w:rsidR="00B45F92" w:rsidRDefault="00250935" w:rsidP="003506D2">
            <w:pPr>
              <w:spacing w:line="276" w:lineRule="auto"/>
              <w:rPr>
                <w:color w:val="000000"/>
                <w:sz w:val="22"/>
                <w:szCs w:val="22"/>
              </w:rPr>
            </w:pPr>
            <w:r>
              <w:rPr>
                <w:color w:val="000000"/>
                <w:sz w:val="22"/>
                <w:szCs w:val="22"/>
              </w:rPr>
              <w:t>Υπόλοιπο 1.1.202</w:t>
            </w:r>
            <w:r w:rsidR="00A149AB">
              <w:rPr>
                <w:color w:val="000000"/>
                <w:sz w:val="22"/>
                <w:szCs w:val="22"/>
              </w:rPr>
              <w:t>1</w:t>
            </w:r>
          </w:p>
        </w:tc>
        <w:tc>
          <w:tcPr>
            <w:tcW w:w="1239" w:type="pct"/>
            <w:tcBorders>
              <w:top w:val="nil"/>
              <w:left w:val="nil"/>
              <w:bottom w:val="single" w:sz="2" w:space="0" w:color="auto"/>
              <w:right w:val="single" w:sz="12" w:space="0" w:color="auto"/>
            </w:tcBorders>
            <w:shd w:val="clear" w:color="auto" w:fill="auto"/>
            <w:vAlign w:val="center"/>
            <w:hideMark/>
          </w:tcPr>
          <w:p w:rsidR="00B45F92" w:rsidRDefault="00B45F92" w:rsidP="003506D2">
            <w:pPr>
              <w:spacing w:line="276" w:lineRule="auto"/>
              <w:jc w:val="right"/>
              <w:rPr>
                <w:color w:val="000000"/>
                <w:sz w:val="22"/>
                <w:szCs w:val="22"/>
              </w:rPr>
            </w:pPr>
            <w:r>
              <w:rPr>
                <w:color w:val="000000"/>
                <w:sz w:val="22"/>
                <w:szCs w:val="22"/>
              </w:rPr>
              <w:t>59.430,00</w:t>
            </w:r>
          </w:p>
        </w:tc>
        <w:tc>
          <w:tcPr>
            <w:tcW w:w="1144" w:type="pct"/>
            <w:tcBorders>
              <w:top w:val="nil"/>
              <w:left w:val="nil"/>
              <w:bottom w:val="single" w:sz="2" w:space="0" w:color="auto"/>
              <w:right w:val="single" w:sz="12" w:space="0" w:color="auto"/>
            </w:tcBorders>
            <w:shd w:val="clear" w:color="auto" w:fill="auto"/>
            <w:vAlign w:val="center"/>
            <w:hideMark/>
          </w:tcPr>
          <w:p w:rsidR="00B45F92" w:rsidRDefault="00B45F92" w:rsidP="003506D2">
            <w:pPr>
              <w:spacing w:line="276" w:lineRule="auto"/>
              <w:jc w:val="right"/>
              <w:rPr>
                <w:color w:val="000000"/>
                <w:sz w:val="22"/>
                <w:szCs w:val="22"/>
              </w:rPr>
            </w:pPr>
            <w:r>
              <w:rPr>
                <w:color w:val="000000"/>
                <w:sz w:val="22"/>
                <w:szCs w:val="22"/>
              </w:rPr>
              <w:t>59.430,00</w:t>
            </w:r>
          </w:p>
        </w:tc>
      </w:tr>
      <w:tr w:rsidR="00B45F92" w:rsidTr="00250935">
        <w:tc>
          <w:tcPr>
            <w:tcW w:w="2617" w:type="pct"/>
            <w:tcBorders>
              <w:top w:val="nil"/>
              <w:left w:val="single" w:sz="12" w:space="0" w:color="auto"/>
              <w:bottom w:val="nil"/>
              <w:right w:val="single" w:sz="12" w:space="0" w:color="auto"/>
            </w:tcBorders>
            <w:shd w:val="clear" w:color="auto" w:fill="auto"/>
            <w:vAlign w:val="center"/>
            <w:hideMark/>
          </w:tcPr>
          <w:p w:rsidR="00B45F92" w:rsidRDefault="00250935" w:rsidP="003506D2">
            <w:pPr>
              <w:spacing w:line="276" w:lineRule="auto"/>
              <w:rPr>
                <w:b/>
                <w:bCs/>
                <w:color w:val="000000"/>
                <w:sz w:val="22"/>
                <w:szCs w:val="22"/>
              </w:rPr>
            </w:pPr>
            <w:r>
              <w:rPr>
                <w:b/>
                <w:bCs/>
                <w:color w:val="000000"/>
                <w:sz w:val="22"/>
                <w:szCs w:val="22"/>
              </w:rPr>
              <w:t>Υπόλοιπο 31.12.202</w:t>
            </w:r>
            <w:r w:rsidR="00A149AB">
              <w:rPr>
                <w:b/>
                <w:bCs/>
                <w:color w:val="000000"/>
                <w:sz w:val="22"/>
                <w:szCs w:val="22"/>
              </w:rPr>
              <w:t>1</w:t>
            </w:r>
          </w:p>
        </w:tc>
        <w:tc>
          <w:tcPr>
            <w:tcW w:w="1239" w:type="pct"/>
            <w:tcBorders>
              <w:top w:val="single" w:sz="2" w:space="0" w:color="auto"/>
              <w:left w:val="nil"/>
              <w:bottom w:val="double" w:sz="6" w:space="0" w:color="auto"/>
              <w:right w:val="single" w:sz="12" w:space="0" w:color="auto"/>
            </w:tcBorders>
            <w:shd w:val="clear" w:color="auto" w:fill="auto"/>
            <w:vAlign w:val="center"/>
            <w:hideMark/>
          </w:tcPr>
          <w:p w:rsidR="00B45F92" w:rsidRPr="00A149AB" w:rsidRDefault="00B45F92" w:rsidP="003506D2">
            <w:pPr>
              <w:spacing w:line="276" w:lineRule="auto"/>
              <w:jc w:val="right"/>
              <w:rPr>
                <w:b/>
                <w:color w:val="000000"/>
                <w:sz w:val="22"/>
                <w:szCs w:val="22"/>
              </w:rPr>
            </w:pPr>
            <w:r w:rsidRPr="00A149AB">
              <w:rPr>
                <w:b/>
                <w:color w:val="000000"/>
                <w:sz w:val="22"/>
                <w:szCs w:val="22"/>
              </w:rPr>
              <w:t>59.430,00</w:t>
            </w:r>
          </w:p>
        </w:tc>
        <w:tc>
          <w:tcPr>
            <w:tcW w:w="1144" w:type="pct"/>
            <w:tcBorders>
              <w:top w:val="single" w:sz="2" w:space="0" w:color="auto"/>
              <w:left w:val="nil"/>
              <w:bottom w:val="double" w:sz="6" w:space="0" w:color="auto"/>
              <w:right w:val="single" w:sz="12" w:space="0" w:color="auto"/>
            </w:tcBorders>
            <w:shd w:val="clear" w:color="auto" w:fill="auto"/>
            <w:vAlign w:val="center"/>
            <w:hideMark/>
          </w:tcPr>
          <w:p w:rsidR="00B45F92" w:rsidRPr="00A149AB" w:rsidRDefault="00B45F92" w:rsidP="003506D2">
            <w:pPr>
              <w:spacing w:line="276" w:lineRule="auto"/>
              <w:jc w:val="right"/>
              <w:rPr>
                <w:b/>
                <w:color w:val="000000"/>
                <w:sz w:val="22"/>
                <w:szCs w:val="22"/>
              </w:rPr>
            </w:pPr>
            <w:r w:rsidRPr="00A149AB">
              <w:rPr>
                <w:b/>
                <w:color w:val="000000"/>
                <w:sz w:val="22"/>
                <w:szCs w:val="22"/>
              </w:rPr>
              <w:t>59.430,00</w:t>
            </w:r>
          </w:p>
        </w:tc>
      </w:tr>
      <w:tr w:rsidR="00B45F92" w:rsidTr="00250935">
        <w:tc>
          <w:tcPr>
            <w:tcW w:w="2617" w:type="pct"/>
            <w:tcBorders>
              <w:top w:val="nil"/>
              <w:left w:val="single" w:sz="12" w:space="0" w:color="auto"/>
              <w:bottom w:val="single" w:sz="12" w:space="0" w:color="auto"/>
              <w:right w:val="single" w:sz="12" w:space="0" w:color="auto"/>
            </w:tcBorders>
            <w:shd w:val="clear" w:color="auto" w:fill="auto"/>
            <w:vAlign w:val="center"/>
            <w:hideMark/>
          </w:tcPr>
          <w:p w:rsidR="00B45F92" w:rsidRDefault="00250935" w:rsidP="003506D2">
            <w:pPr>
              <w:spacing w:line="276" w:lineRule="auto"/>
              <w:rPr>
                <w:b/>
                <w:bCs/>
                <w:color w:val="000000"/>
                <w:sz w:val="22"/>
                <w:szCs w:val="22"/>
              </w:rPr>
            </w:pPr>
            <w:r>
              <w:rPr>
                <w:b/>
                <w:bCs/>
                <w:color w:val="000000"/>
                <w:sz w:val="22"/>
                <w:szCs w:val="22"/>
              </w:rPr>
              <w:t>Καθαρή λογιστική αξία 31.12.202</w:t>
            </w:r>
            <w:r w:rsidR="00A149AB">
              <w:rPr>
                <w:b/>
                <w:bCs/>
                <w:color w:val="000000"/>
                <w:sz w:val="22"/>
                <w:szCs w:val="22"/>
              </w:rPr>
              <w:t>1</w:t>
            </w:r>
          </w:p>
        </w:tc>
        <w:tc>
          <w:tcPr>
            <w:tcW w:w="1239" w:type="pct"/>
            <w:tcBorders>
              <w:top w:val="nil"/>
              <w:left w:val="nil"/>
              <w:bottom w:val="double" w:sz="6" w:space="0" w:color="auto"/>
              <w:right w:val="single" w:sz="12" w:space="0" w:color="auto"/>
            </w:tcBorders>
            <w:shd w:val="clear" w:color="auto" w:fill="auto"/>
            <w:vAlign w:val="center"/>
            <w:hideMark/>
          </w:tcPr>
          <w:p w:rsidR="00B45F92" w:rsidRDefault="00B45F92" w:rsidP="003506D2">
            <w:pPr>
              <w:spacing w:line="276" w:lineRule="auto"/>
              <w:jc w:val="right"/>
              <w:rPr>
                <w:b/>
                <w:bCs/>
                <w:color w:val="000000"/>
                <w:sz w:val="22"/>
                <w:szCs w:val="22"/>
              </w:rPr>
            </w:pPr>
            <w:r>
              <w:rPr>
                <w:b/>
                <w:bCs/>
                <w:color w:val="000000"/>
                <w:sz w:val="22"/>
                <w:szCs w:val="22"/>
              </w:rPr>
              <w:t>59.430,00</w:t>
            </w:r>
          </w:p>
        </w:tc>
        <w:tc>
          <w:tcPr>
            <w:tcW w:w="1144" w:type="pct"/>
            <w:tcBorders>
              <w:top w:val="nil"/>
              <w:left w:val="nil"/>
              <w:bottom w:val="double" w:sz="6" w:space="0" w:color="auto"/>
              <w:right w:val="single" w:sz="12" w:space="0" w:color="auto"/>
            </w:tcBorders>
            <w:shd w:val="clear" w:color="auto" w:fill="auto"/>
            <w:vAlign w:val="center"/>
            <w:hideMark/>
          </w:tcPr>
          <w:p w:rsidR="00B45F92" w:rsidRDefault="00B45F92" w:rsidP="003506D2">
            <w:pPr>
              <w:spacing w:line="276" w:lineRule="auto"/>
              <w:jc w:val="right"/>
              <w:rPr>
                <w:b/>
                <w:bCs/>
                <w:color w:val="000000"/>
                <w:sz w:val="22"/>
                <w:szCs w:val="22"/>
              </w:rPr>
            </w:pPr>
            <w:r>
              <w:rPr>
                <w:b/>
                <w:bCs/>
                <w:color w:val="000000"/>
                <w:sz w:val="22"/>
                <w:szCs w:val="22"/>
              </w:rPr>
              <w:t>59.430,00</w:t>
            </w:r>
          </w:p>
        </w:tc>
      </w:tr>
    </w:tbl>
    <w:p w:rsidR="00253B1B" w:rsidRDefault="00253B1B" w:rsidP="00B82D0D">
      <w:pPr>
        <w:shd w:val="clear" w:color="auto" w:fill="FFFFFF"/>
        <w:spacing w:after="200" w:line="276" w:lineRule="auto"/>
        <w:ind w:left="284" w:right="14" w:hanging="284"/>
        <w:rPr>
          <w:b/>
          <w:sz w:val="22"/>
          <w:szCs w:val="22"/>
          <w:highlight w:val="yellow"/>
        </w:rPr>
      </w:pPr>
    </w:p>
    <w:p w:rsidR="00751887" w:rsidRPr="00B45F92" w:rsidRDefault="00880694" w:rsidP="003506D2">
      <w:pPr>
        <w:shd w:val="clear" w:color="auto" w:fill="FFFFFF"/>
        <w:spacing w:after="200" w:line="312" w:lineRule="auto"/>
        <w:ind w:left="284" w:right="14" w:hanging="284"/>
        <w:rPr>
          <w:b/>
          <w:sz w:val="22"/>
          <w:szCs w:val="22"/>
        </w:rPr>
      </w:pPr>
      <w:r w:rsidRPr="00B45F92">
        <w:rPr>
          <w:b/>
          <w:sz w:val="22"/>
          <w:szCs w:val="22"/>
        </w:rPr>
        <w:t>6.3</w:t>
      </w:r>
      <w:r w:rsidR="00751887" w:rsidRPr="00B45F92">
        <w:rPr>
          <w:b/>
          <w:sz w:val="22"/>
          <w:szCs w:val="22"/>
        </w:rPr>
        <w:t>. Άυλα πάγια περιουσιακά στοιχεία</w:t>
      </w:r>
    </w:p>
    <w:tbl>
      <w:tblPr>
        <w:tblW w:w="5000" w:type="pct"/>
        <w:tblLook w:val="04A0" w:firstRow="1" w:lastRow="0" w:firstColumn="1" w:lastColumn="0" w:noHBand="0" w:noVBand="1"/>
      </w:tblPr>
      <w:tblGrid>
        <w:gridCol w:w="7498"/>
        <w:gridCol w:w="2224"/>
      </w:tblGrid>
      <w:tr w:rsidR="00A149AB" w:rsidTr="00A149AB">
        <w:trPr>
          <w:trHeight w:val="576"/>
        </w:trPr>
        <w:tc>
          <w:tcPr>
            <w:tcW w:w="3856"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Πίνακας μεταβολών άυλων πάγιων στοιχείων</w:t>
            </w:r>
          </w:p>
        </w:tc>
        <w:tc>
          <w:tcPr>
            <w:tcW w:w="1144" w:type="pct"/>
            <w:tcBorders>
              <w:top w:val="single" w:sz="12" w:space="0" w:color="auto"/>
              <w:left w:val="nil"/>
              <w:bottom w:val="single" w:sz="12" w:space="0" w:color="auto"/>
              <w:right w:val="single" w:sz="12" w:space="0" w:color="auto"/>
            </w:tcBorders>
            <w:shd w:val="clear" w:color="auto" w:fill="auto"/>
            <w:vAlign w:val="center"/>
            <w:hideMark/>
          </w:tcPr>
          <w:p w:rsidR="00A149AB" w:rsidRDefault="00A149AB">
            <w:pPr>
              <w:jc w:val="center"/>
              <w:rPr>
                <w:b/>
                <w:bCs/>
                <w:color w:val="000000"/>
                <w:sz w:val="22"/>
                <w:szCs w:val="22"/>
              </w:rPr>
            </w:pPr>
            <w:r>
              <w:rPr>
                <w:b/>
                <w:bCs/>
                <w:color w:val="000000"/>
                <w:sz w:val="22"/>
                <w:szCs w:val="22"/>
              </w:rPr>
              <w:t>Λοιπά άυλα στοιχεία</w:t>
            </w:r>
          </w:p>
        </w:tc>
      </w:tr>
      <w:tr w:rsidR="00A149AB" w:rsidTr="00A149AB">
        <w:trPr>
          <w:trHeight w:val="288"/>
        </w:trPr>
        <w:tc>
          <w:tcPr>
            <w:tcW w:w="3856" w:type="pct"/>
            <w:tcBorders>
              <w:top w:val="nil"/>
              <w:left w:val="single" w:sz="12" w:space="0" w:color="auto"/>
              <w:bottom w:val="nil"/>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 xml:space="preserve">Αξία κτήσεως </w:t>
            </w:r>
          </w:p>
        </w:tc>
        <w:tc>
          <w:tcPr>
            <w:tcW w:w="1144" w:type="pct"/>
            <w:tcBorders>
              <w:top w:val="nil"/>
              <w:left w:val="nil"/>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 </w:t>
            </w:r>
          </w:p>
        </w:tc>
      </w:tr>
      <w:tr w:rsidR="00A149AB" w:rsidTr="00A149AB">
        <w:trPr>
          <w:trHeight w:val="276"/>
        </w:trPr>
        <w:tc>
          <w:tcPr>
            <w:tcW w:w="3856" w:type="pct"/>
            <w:tcBorders>
              <w:top w:val="nil"/>
              <w:left w:val="single" w:sz="12" w:space="0" w:color="auto"/>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Υπόλοιπο 1.1.2020</w:t>
            </w:r>
          </w:p>
        </w:tc>
        <w:tc>
          <w:tcPr>
            <w:tcW w:w="1144" w:type="pct"/>
            <w:tcBorders>
              <w:top w:val="nil"/>
              <w:left w:val="nil"/>
              <w:bottom w:val="single" w:sz="4" w:space="0" w:color="auto"/>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48.782,75</w:t>
            </w:r>
          </w:p>
        </w:tc>
      </w:tr>
      <w:tr w:rsidR="00A149AB" w:rsidTr="00A149AB">
        <w:trPr>
          <w:trHeight w:val="288"/>
        </w:trPr>
        <w:tc>
          <w:tcPr>
            <w:tcW w:w="3856" w:type="pct"/>
            <w:tcBorders>
              <w:top w:val="nil"/>
              <w:left w:val="single" w:sz="12" w:space="0" w:color="auto"/>
              <w:bottom w:val="nil"/>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Υπόλοιπο 31.12.2020</w:t>
            </w:r>
          </w:p>
        </w:tc>
        <w:tc>
          <w:tcPr>
            <w:tcW w:w="1144" w:type="pct"/>
            <w:tcBorders>
              <w:top w:val="nil"/>
              <w:left w:val="nil"/>
              <w:bottom w:val="double" w:sz="6" w:space="0" w:color="auto"/>
              <w:right w:val="single" w:sz="12" w:space="0" w:color="auto"/>
            </w:tcBorders>
            <w:shd w:val="clear" w:color="auto" w:fill="auto"/>
            <w:vAlign w:val="center"/>
            <w:hideMark/>
          </w:tcPr>
          <w:p w:rsidR="00A149AB" w:rsidRPr="00A149AB" w:rsidRDefault="00A149AB">
            <w:pPr>
              <w:jc w:val="right"/>
              <w:rPr>
                <w:b/>
                <w:color w:val="000000"/>
                <w:sz w:val="22"/>
                <w:szCs w:val="22"/>
              </w:rPr>
            </w:pPr>
            <w:r w:rsidRPr="00A149AB">
              <w:rPr>
                <w:b/>
                <w:color w:val="000000"/>
                <w:sz w:val="22"/>
                <w:szCs w:val="22"/>
              </w:rPr>
              <w:t>48.782,75</w:t>
            </w:r>
          </w:p>
        </w:tc>
      </w:tr>
      <w:tr w:rsidR="00A149AB" w:rsidTr="00A149AB">
        <w:trPr>
          <w:trHeight w:val="288"/>
        </w:trPr>
        <w:tc>
          <w:tcPr>
            <w:tcW w:w="3856" w:type="pct"/>
            <w:tcBorders>
              <w:top w:val="nil"/>
              <w:left w:val="single" w:sz="12" w:space="0" w:color="auto"/>
              <w:bottom w:val="nil"/>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 xml:space="preserve">Σωρευμένες αποσβέσεις και </w:t>
            </w:r>
            <w:proofErr w:type="spellStart"/>
            <w:r>
              <w:rPr>
                <w:b/>
                <w:bCs/>
                <w:color w:val="000000"/>
                <w:sz w:val="22"/>
                <w:szCs w:val="22"/>
              </w:rPr>
              <w:t>απομειώσεις</w:t>
            </w:r>
            <w:proofErr w:type="spellEnd"/>
          </w:p>
        </w:tc>
        <w:tc>
          <w:tcPr>
            <w:tcW w:w="1144" w:type="pct"/>
            <w:tcBorders>
              <w:top w:val="nil"/>
              <w:left w:val="nil"/>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 </w:t>
            </w:r>
          </w:p>
        </w:tc>
      </w:tr>
      <w:tr w:rsidR="00A149AB" w:rsidTr="00A149AB">
        <w:trPr>
          <w:trHeight w:val="276"/>
        </w:trPr>
        <w:tc>
          <w:tcPr>
            <w:tcW w:w="3856" w:type="pct"/>
            <w:tcBorders>
              <w:top w:val="nil"/>
              <w:left w:val="single" w:sz="12" w:space="0" w:color="auto"/>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Υπόλοιπο 1.1.2020</w:t>
            </w:r>
          </w:p>
        </w:tc>
        <w:tc>
          <w:tcPr>
            <w:tcW w:w="1144" w:type="pct"/>
            <w:tcBorders>
              <w:top w:val="nil"/>
              <w:left w:val="nil"/>
              <w:bottom w:val="nil"/>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-38.643,92</w:t>
            </w:r>
          </w:p>
        </w:tc>
      </w:tr>
      <w:tr w:rsidR="00A149AB" w:rsidTr="00A149AB">
        <w:trPr>
          <w:trHeight w:val="276"/>
        </w:trPr>
        <w:tc>
          <w:tcPr>
            <w:tcW w:w="3856" w:type="pct"/>
            <w:tcBorders>
              <w:top w:val="nil"/>
              <w:left w:val="single" w:sz="12" w:space="0" w:color="auto"/>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Αποσβέσεις περιόδου</w:t>
            </w:r>
          </w:p>
        </w:tc>
        <w:tc>
          <w:tcPr>
            <w:tcW w:w="1144" w:type="pct"/>
            <w:tcBorders>
              <w:top w:val="nil"/>
              <w:left w:val="nil"/>
              <w:bottom w:val="single" w:sz="4" w:space="0" w:color="auto"/>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-138,72</w:t>
            </w:r>
          </w:p>
        </w:tc>
      </w:tr>
      <w:tr w:rsidR="00A149AB" w:rsidTr="00A149AB">
        <w:trPr>
          <w:trHeight w:val="288"/>
        </w:trPr>
        <w:tc>
          <w:tcPr>
            <w:tcW w:w="3856" w:type="pct"/>
            <w:tcBorders>
              <w:top w:val="nil"/>
              <w:left w:val="single" w:sz="12" w:space="0" w:color="auto"/>
              <w:bottom w:val="nil"/>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Υπόλοιπο 31.12.2020</w:t>
            </w:r>
          </w:p>
        </w:tc>
        <w:tc>
          <w:tcPr>
            <w:tcW w:w="1144" w:type="pct"/>
            <w:tcBorders>
              <w:top w:val="nil"/>
              <w:left w:val="nil"/>
              <w:bottom w:val="double" w:sz="6" w:space="0" w:color="auto"/>
              <w:right w:val="single" w:sz="12" w:space="0" w:color="auto"/>
            </w:tcBorders>
            <w:shd w:val="clear" w:color="auto" w:fill="auto"/>
            <w:vAlign w:val="center"/>
            <w:hideMark/>
          </w:tcPr>
          <w:p w:rsidR="00A149AB" w:rsidRPr="00A149AB" w:rsidRDefault="00A149AB">
            <w:pPr>
              <w:jc w:val="right"/>
              <w:rPr>
                <w:b/>
                <w:color w:val="000000"/>
                <w:sz w:val="22"/>
                <w:szCs w:val="22"/>
              </w:rPr>
            </w:pPr>
            <w:r w:rsidRPr="00A149AB">
              <w:rPr>
                <w:b/>
                <w:color w:val="000000"/>
                <w:sz w:val="22"/>
                <w:szCs w:val="22"/>
              </w:rPr>
              <w:t>-38.782,64</w:t>
            </w:r>
          </w:p>
        </w:tc>
      </w:tr>
      <w:tr w:rsidR="00A149AB" w:rsidTr="00A149AB">
        <w:trPr>
          <w:trHeight w:val="300"/>
        </w:trPr>
        <w:tc>
          <w:tcPr>
            <w:tcW w:w="3856" w:type="pct"/>
            <w:tcBorders>
              <w:top w:val="nil"/>
              <w:left w:val="single" w:sz="12" w:space="0" w:color="auto"/>
              <w:bottom w:val="nil"/>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Καθαρή λογιστική αξία 31.12.2020</w:t>
            </w:r>
          </w:p>
        </w:tc>
        <w:tc>
          <w:tcPr>
            <w:tcW w:w="1144" w:type="pct"/>
            <w:tcBorders>
              <w:top w:val="nil"/>
              <w:left w:val="nil"/>
              <w:bottom w:val="double" w:sz="6" w:space="0" w:color="auto"/>
              <w:right w:val="single" w:sz="12" w:space="0" w:color="auto"/>
            </w:tcBorders>
            <w:shd w:val="clear" w:color="auto" w:fill="auto"/>
            <w:vAlign w:val="center"/>
            <w:hideMark/>
          </w:tcPr>
          <w:p w:rsidR="00A149AB" w:rsidRDefault="00A149AB">
            <w:pPr>
              <w:jc w:val="right"/>
              <w:rPr>
                <w:b/>
                <w:bCs/>
                <w:color w:val="000000"/>
                <w:sz w:val="22"/>
                <w:szCs w:val="22"/>
              </w:rPr>
            </w:pPr>
            <w:r>
              <w:rPr>
                <w:b/>
                <w:bCs/>
                <w:color w:val="000000"/>
                <w:sz w:val="22"/>
                <w:szCs w:val="22"/>
              </w:rPr>
              <w:t>10.000,11</w:t>
            </w:r>
          </w:p>
        </w:tc>
      </w:tr>
      <w:tr w:rsidR="00A149AB" w:rsidTr="00A149AB">
        <w:trPr>
          <w:trHeight w:val="288"/>
        </w:trPr>
        <w:tc>
          <w:tcPr>
            <w:tcW w:w="3856" w:type="pct"/>
            <w:tcBorders>
              <w:top w:val="nil"/>
              <w:left w:val="single" w:sz="12" w:space="0" w:color="auto"/>
              <w:bottom w:val="nil"/>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 xml:space="preserve">Αξία κτήσεως </w:t>
            </w:r>
          </w:p>
        </w:tc>
        <w:tc>
          <w:tcPr>
            <w:tcW w:w="1144" w:type="pct"/>
            <w:tcBorders>
              <w:top w:val="nil"/>
              <w:left w:val="nil"/>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 </w:t>
            </w:r>
          </w:p>
        </w:tc>
      </w:tr>
      <w:tr w:rsidR="00A149AB" w:rsidTr="00A149AB">
        <w:trPr>
          <w:trHeight w:val="276"/>
        </w:trPr>
        <w:tc>
          <w:tcPr>
            <w:tcW w:w="3856" w:type="pct"/>
            <w:tcBorders>
              <w:top w:val="nil"/>
              <w:left w:val="single" w:sz="12" w:space="0" w:color="auto"/>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Υπόλοιπο 1.1.2021</w:t>
            </w:r>
          </w:p>
        </w:tc>
        <w:tc>
          <w:tcPr>
            <w:tcW w:w="1144" w:type="pct"/>
            <w:tcBorders>
              <w:top w:val="nil"/>
              <w:left w:val="nil"/>
              <w:bottom w:val="single" w:sz="4" w:space="0" w:color="auto"/>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48.782,75</w:t>
            </w:r>
          </w:p>
        </w:tc>
      </w:tr>
      <w:tr w:rsidR="00A149AB" w:rsidTr="00A149AB">
        <w:trPr>
          <w:trHeight w:val="288"/>
        </w:trPr>
        <w:tc>
          <w:tcPr>
            <w:tcW w:w="3856" w:type="pct"/>
            <w:tcBorders>
              <w:top w:val="nil"/>
              <w:left w:val="single" w:sz="12" w:space="0" w:color="auto"/>
              <w:bottom w:val="nil"/>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Υπόλοιπο 31.12.2021</w:t>
            </w:r>
          </w:p>
        </w:tc>
        <w:tc>
          <w:tcPr>
            <w:tcW w:w="1144" w:type="pct"/>
            <w:tcBorders>
              <w:top w:val="nil"/>
              <w:left w:val="nil"/>
              <w:bottom w:val="double" w:sz="6" w:space="0" w:color="auto"/>
              <w:right w:val="single" w:sz="12" w:space="0" w:color="auto"/>
            </w:tcBorders>
            <w:shd w:val="clear" w:color="auto" w:fill="auto"/>
            <w:vAlign w:val="center"/>
            <w:hideMark/>
          </w:tcPr>
          <w:p w:rsidR="00A149AB" w:rsidRPr="00A149AB" w:rsidRDefault="00A149AB">
            <w:pPr>
              <w:jc w:val="right"/>
              <w:rPr>
                <w:b/>
                <w:color w:val="000000"/>
                <w:sz w:val="22"/>
                <w:szCs w:val="22"/>
              </w:rPr>
            </w:pPr>
            <w:r w:rsidRPr="00A149AB">
              <w:rPr>
                <w:b/>
                <w:color w:val="000000"/>
                <w:sz w:val="22"/>
                <w:szCs w:val="22"/>
              </w:rPr>
              <w:t>48.782,75</w:t>
            </w:r>
          </w:p>
        </w:tc>
      </w:tr>
      <w:tr w:rsidR="00A149AB" w:rsidTr="00A149AB">
        <w:trPr>
          <w:trHeight w:val="288"/>
        </w:trPr>
        <w:tc>
          <w:tcPr>
            <w:tcW w:w="3856" w:type="pct"/>
            <w:tcBorders>
              <w:top w:val="nil"/>
              <w:left w:val="single" w:sz="12" w:space="0" w:color="auto"/>
              <w:bottom w:val="nil"/>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 xml:space="preserve">Σωρευμένες αποσβέσεις και </w:t>
            </w:r>
            <w:proofErr w:type="spellStart"/>
            <w:r>
              <w:rPr>
                <w:b/>
                <w:bCs/>
                <w:color w:val="000000"/>
                <w:sz w:val="22"/>
                <w:szCs w:val="22"/>
              </w:rPr>
              <w:t>απομειώσεις</w:t>
            </w:r>
            <w:proofErr w:type="spellEnd"/>
          </w:p>
        </w:tc>
        <w:tc>
          <w:tcPr>
            <w:tcW w:w="1144" w:type="pct"/>
            <w:tcBorders>
              <w:top w:val="nil"/>
              <w:left w:val="nil"/>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 </w:t>
            </w:r>
          </w:p>
        </w:tc>
      </w:tr>
      <w:tr w:rsidR="00A149AB" w:rsidTr="00A149AB">
        <w:trPr>
          <w:trHeight w:val="276"/>
        </w:trPr>
        <w:tc>
          <w:tcPr>
            <w:tcW w:w="3856" w:type="pct"/>
            <w:tcBorders>
              <w:top w:val="nil"/>
              <w:left w:val="single" w:sz="12" w:space="0" w:color="auto"/>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Υπόλοιπο 1.1.2021</w:t>
            </w:r>
          </w:p>
        </w:tc>
        <w:tc>
          <w:tcPr>
            <w:tcW w:w="1144" w:type="pct"/>
            <w:tcBorders>
              <w:top w:val="nil"/>
              <w:left w:val="nil"/>
              <w:bottom w:val="nil"/>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-38.782,64</w:t>
            </w:r>
          </w:p>
        </w:tc>
      </w:tr>
      <w:tr w:rsidR="00A149AB" w:rsidTr="00A149AB">
        <w:trPr>
          <w:trHeight w:val="276"/>
        </w:trPr>
        <w:tc>
          <w:tcPr>
            <w:tcW w:w="3856" w:type="pct"/>
            <w:tcBorders>
              <w:top w:val="nil"/>
              <w:left w:val="single" w:sz="12" w:space="0" w:color="auto"/>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Αποσβέσεις περιόδου</w:t>
            </w:r>
          </w:p>
        </w:tc>
        <w:tc>
          <w:tcPr>
            <w:tcW w:w="1144" w:type="pct"/>
            <w:tcBorders>
              <w:top w:val="nil"/>
              <w:left w:val="nil"/>
              <w:bottom w:val="single" w:sz="4" w:space="0" w:color="auto"/>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0,00</w:t>
            </w:r>
          </w:p>
        </w:tc>
      </w:tr>
      <w:tr w:rsidR="00A149AB" w:rsidTr="00A149AB">
        <w:trPr>
          <w:trHeight w:val="288"/>
        </w:trPr>
        <w:tc>
          <w:tcPr>
            <w:tcW w:w="3856" w:type="pct"/>
            <w:tcBorders>
              <w:top w:val="nil"/>
              <w:left w:val="single" w:sz="12" w:space="0" w:color="auto"/>
              <w:bottom w:val="nil"/>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Υπόλοιπο 31.12.2021</w:t>
            </w:r>
          </w:p>
        </w:tc>
        <w:tc>
          <w:tcPr>
            <w:tcW w:w="1144" w:type="pct"/>
            <w:tcBorders>
              <w:top w:val="nil"/>
              <w:left w:val="nil"/>
              <w:bottom w:val="double" w:sz="6" w:space="0" w:color="auto"/>
              <w:right w:val="single" w:sz="12" w:space="0" w:color="auto"/>
            </w:tcBorders>
            <w:shd w:val="clear" w:color="auto" w:fill="auto"/>
            <w:vAlign w:val="center"/>
            <w:hideMark/>
          </w:tcPr>
          <w:p w:rsidR="00A149AB" w:rsidRPr="00A149AB" w:rsidRDefault="00A149AB">
            <w:pPr>
              <w:jc w:val="right"/>
              <w:rPr>
                <w:b/>
                <w:color w:val="000000"/>
                <w:sz w:val="22"/>
                <w:szCs w:val="22"/>
              </w:rPr>
            </w:pPr>
            <w:r w:rsidRPr="00A149AB">
              <w:rPr>
                <w:b/>
                <w:color w:val="000000"/>
                <w:sz w:val="22"/>
                <w:szCs w:val="22"/>
              </w:rPr>
              <w:t>-38.782,64</w:t>
            </w:r>
          </w:p>
        </w:tc>
      </w:tr>
      <w:tr w:rsidR="00A149AB" w:rsidTr="00A149AB">
        <w:trPr>
          <w:trHeight w:val="300"/>
        </w:trPr>
        <w:tc>
          <w:tcPr>
            <w:tcW w:w="3856" w:type="pct"/>
            <w:tcBorders>
              <w:top w:val="nil"/>
              <w:left w:val="single" w:sz="12" w:space="0" w:color="auto"/>
              <w:bottom w:val="single" w:sz="12" w:space="0" w:color="auto"/>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Καθαρή λογιστική αξία 31.12.2021</w:t>
            </w:r>
          </w:p>
        </w:tc>
        <w:tc>
          <w:tcPr>
            <w:tcW w:w="1144" w:type="pct"/>
            <w:tcBorders>
              <w:top w:val="nil"/>
              <w:left w:val="nil"/>
              <w:bottom w:val="double" w:sz="6" w:space="0" w:color="auto"/>
              <w:right w:val="single" w:sz="12" w:space="0" w:color="auto"/>
            </w:tcBorders>
            <w:shd w:val="clear" w:color="auto" w:fill="auto"/>
            <w:vAlign w:val="center"/>
            <w:hideMark/>
          </w:tcPr>
          <w:p w:rsidR="00A149AB" w:rsidRDefault="00A149AB">
            <w:pPr>
              <w:jc w:val="right"/>
              <w:rPr>
                <w:b/>
                <w:bCs/>
                <w:color w:val="000000"/>
                <w:sz w:val="22"/>
                <w:szCs w:val="22"/>
              </w:rPr>
            </w:pPr>
            <w:r>
              <w:rPr>
                <w:b/>
                <w:bCs/>
                <w:color w:val="000000"/>
                <w:sz w:val="22"/>
                <w:szCs w:val="22"/>
              </w:rPr>
              <w:t>10.000,11</w:t>
            </w:r>
          </w:p>
        </w:tc>
      </w:tr>
    </w:tbl>
    <w:p w:rsidR="00B45F92" w:rsidRDefault="00B45F92" w:rsidP="003506D2">
      <w:pPr>
        <w:shd w:val="clear" w:color="auto" w:fill="FFFFFF"/>
        <w:spacing w:after="200" w:line="312" w:lineRule="auto"/>
        <w:ind w:left="284" w:right="14" w:hanging="284"/>
        <w:rPr>
          <w:b/>
          <w:sz w:val="22"/>
          <w:szCs w:val="22"/>
          <w:highlight w:val="yellow"/>
        </w:rPr>
      </w:pPr>
    </w:p>
    <w:p w:rsidR="00CA307D" w:rsidRPr="00B45F92" w:rsidRDefault="002C6135" w:rsidP="003506D2">
      <w:pPr>
        <w:pStyle w:val="1"/>
        <w:spacing w:line="312" w:lineRule="auto"/>
        <w:jc w:val="left"/>
      </w:pPr>
      <w:bookmarkStart w:id="31" w:name="_Toc488058539"/>
      <w:bookmarkStart w:id="32" w:name="_Toc15546000"/>
      <w:r w:rsidRPr="00B45F92">
        <w:t>7</w:t>
      </w:r>
      <w:r w:rsidR="00BA3252" w:rsidRPr="00B45F92">
        <w:t xml:space="preserve">. Χρηματοοικονομικά </w:t>
      </w:r>
      <w:r w:rsidR="00C75F51" w:rsidRPr="00B45F92">
        <w:t>περιουσιακ</w:t>
      </w:r>
      <w:r w:rsidR="00BA3252" w:rsidRPr="00B45F92">
        <w:t>ά</w:t>
      </w:r>
      <w:r w:rsidR="00C75F51" w:rsidRPr="00B45F92">
        <w:t xml:space="preserve"> στοιχεί</w:t>
      </w:r>
      <w:r w:rsidR="00BA3252" w:rsidRPr="00B45F92">
        <w:t>α</w:t>
      </w:r>
      <w:bookmarkEnd w:id="31"/>
      <w:bookmarkEnd w:id="32"/>
    </w:p>
    <w:p w:rsidR="00B45F92" w:rsidRPr="00B45F92" w:rsidRDefault="00B45F92" w:rsidP="003506D2">
      <w:pPr>
        <w:spacing w:line="312" w:lineRule="auto"/>
        <w:rPr>
          <w:lang w:val="x-none" w:eastAsia="en-US"/>
        </w:rPr>
      </w:pPr>
    </w:p>
    <w:p w:rsidR="00CA307D" w:rsidRPr="00B45F92" w:rsidRDefault="00CA307D" w:rsidP="003506D2">
      <w:pPr>
        <w:shd w:val="clear" w:color="auto" w:fill="FFFFFF"/>
        <w:spacing w:after="200" w:line="312" w:lineRule="auto"/>
        <w:ind w:left="284" w:right="14" w:hanging="284"/>
        <w:rPr>
          <w:b/>
          <w:sz w:val="22"/>
          <w:szCs w:val="22"/>
        </w:rPr>
      </w:pPr>
      <w:r w:rsidRPr="00B45F92">
        <w:rPr>
          <w:b/>
          <w:sz w:val="22"/>
          <w:szCs w:val="22"/>
        </w:rPr>
        <w:t>7.1 Αποτίμηση στην εύλογη αξία</w:t>
      </w:r>
    </w:p>
    <w:p w:rsidR="00A12EF0" w:rsidRPr="00B45F92" w:rsidRDefault="00A12EF0" w:rsidP="003506D2">
      <w:pPr>
        <w:shd w:val="clear" w:color="auto" w:fill="FFFFFF"/>
        <w:spacing w:after="200" w:line="312" w:lineRule="auto"/>
        <w:ind w:left="5" w:right="14" w:firstLine="562"/>
        <w:jc w:val="both"/>
      </w:pPr>
      <w:r w:rsidRPr="00B45F92">
        <w:rPr>
          <w:sz w:val="22"/>
          <w:szCs w:val="22"/>
        </w:rPr>
        <w:t xml:space="preserve">Δεν υπάρχουν χρηματοοικονομικά στοιχεία που να αποτιμώνται στην εύλογη αξία. </w:t>
      </w:r>
    </w:p>
    <w:p w:rsidR="00CA307D" w:rsidRPr="00B45F92" w:rsidRDefault="00CA307D" w:rsidP="003506D2">
      <w:pPr>
        <w:shd w:val="clear" w:color="auto" w:fill="FFFFFF"/>
        <w:spacing w:after="200" w:line="312" w:lineRule="auto"/>
        <w:ind w:left="284" w:right="14" w:hanging="284"/>
        <w:rPr>
          <w:b/>
          <w:sz w:val="22"/>
          <w:szCs w:val="22"/>
        </w:rPr>
      </w:pPr>
      <w:r w:rsidRPr="00B45F92">
        <w:rPr>
          <w:b/>
          <w:sz w:val="22"/>
          <w:szCs w:val="22"/>
        </w:rPr>
        <w:t>7.2 Αποτίμηση στο κόστος κτήσεως</w:t>
      </w:r>
    </w:p>
    <w:p w:rsidR="00BA3252" w:rsidRPr="00B45F92" w:rsidRDefault="00BA3252" w:rsidP="003506D2">
      <w:pPr>
        <w:shd w:val="clear" w:color="auto" w:fill="FFFFFF"/>
        <w:spacing w:after="200" w:line="312" w:lineRule="auto"/>
        <w:ind w:left="284" w:right="14" w:hanging="284"/>
        <w:rPr>
          <w:b/>
          <w:sz w:val="22"/>
          <w:szCs w:val="22"/>
        </w:rPr>
      </w:pPr>
      <w:r w:rsidRPr="00B45F92">
        <w:rPr>
          <w:b/>
          <w:sz w:val="22"/>
          <w:szCs w:val="22"/>
        </w:rPr>
        <w:t>7.2.1 Εμπορικές απαιτήσεις</w:t>
      </w:r>
    </w:p>
    <w:p w:rsidR="00A258EC" w:rsidRDefault="00A258EC" w:rsidP="003506D2">
      <w:pPr>
        <w:shd w:val="clear" w:color="auto" w:fill="FFFFFF"/>
        <w:spacing w:after="200" w:line="312" w:lineRule="auto"/>
        <w:ind w:left="284" w:right="14"/>
        <w:rPr>
          <w:sz w:val="22"/>
          <w:szCs w:val="22"/>
        </w:rPr>
      </w:pPr>
      <w:r>
        <w:rPr>
          <w:sz w:val="22"/>
          <w:szCs w:val="22"/>
          <w:lang w:val="en-US"/>
        </w:rPr>
        <w:t xml:space="preserve">Oi </w:t>
      </w:r>
      <w:r w:rsidR="00BA3252" w:rsidRPr="00B45F92">
        <w:rPr>
          <w:sz w:val="22"/>
          <w:szCs w:val="22"/>
        </w:rPr>
        <w:t>εμπορικές απαιτήσεις</w:t>
      </w:r>
      <w:r>
        <w:rPr>
          <w:sz w:val="22"/>
          <w:szCs w:val="22"/>
        </w:rPr>
        <w:t xml:space="preserve"> αναλύονται:</w:t>
      </w:r>
    </w:p>
    <w:p w:rsidR="00A149AB" w:rsidRDefault="00A149AB" w:rsidP="003506D2">
      <w:pPr>
        <w:shd w:val="clear" w:color="auto" w:fill="FFFFFF"/>
        <w:spacing w:after="200" w:line="312" w:lineRule="auto"/>
        <w:ind w:left="284" w:right="14"/>
        <w:rPr>
          <w:sz w:val="22"/>
          <w:szCs w:val="22"/>
          <w:lang w:val="en-US"/>
        </w:rPr>
      </w:pPr>
    </w:p>
    <w:tbl>
      <w:tblPr>
        <w:tblW w:w="5000" w:type="pct"/>
        <w:tblLook w:val="04A0" w:firstRow="1" w:lastRow="0" w:firstColumn="1" w:lastColumn="0" w:noHBand="0" w:noVBand="1"/>
      </w:tblPr>
      <w:tblGrid>
        <w:gridCol w:w="5331"/>
        <w:gridCol w:w="2248"/>
        <w:gridCol w:w="2143"/>
      </w:tblGrid>
      <w:tr w:rsidR="00A149AB" w:rsidTr="00A149AB">
        <w:trPr>
          <w:trHeight w:val="300"/>
        </w:trPr>
        <w:tc>
          <w:tcPr>
            <w:tcW w:w="274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Εμπορικές απαιτήσεις</w:t>
            </w:r>
          </w:p>
        </w:tc>
        <w:tc>
          <w:tcPr>
            <w:tcW w:w="1156" w:type="pct"/>
            <w:tcBorders>
              <w:top w:val="single" w:sz="12" w:space="0" w:color="auto"/>
              <w:left w:val="nil"/>
              <w:bottom w:val="single" w:sz="12" w:space="0" w:color="auto"/>
              <w:right w:val="single" w:sz="12" w:space="0" w:color="auto"/>
            </w:tcBorders>
            <w:shd w:val="clear" w:color="auto" w:fill="auto"/>
            <w:vAlign w:val="center"/>
            <w:hideMark/>
          </w:tcPr>
          <w:p w:rsidR="00A149AB" w:rsidRDefault="00A149AB">
            <w:pPr>
              <w:jc w:val="center"/>
              <w:rPr>
                <w:b/>
                <w:bCs/>
                <w:color w:val="000000"/>
                <w:sz w:val="22"/>
                <w:szCs w:val="22"/>
              </w:rPr>
            </w:pPr>
            <w:r>
              <w:rPr>
                <w:b/>
                <w:bCs/>
                <w:color w:val="000000"/>
                <w:sz w:val="22"/>
                <w:szCs w:val="22"/>
              </w:rPr>
              <w:t>31/12/21</w:t>
            </w:r>
          </w:p>
        </w:tc>
        <w:tc>
          <w:tcPr>
            <w:tcW w:w="1102" w:type="pct"/>
            <w:tcBorders>
              <w:top w:val="single" w:sz="12" w:space="0" w:color="auto"/>
              <w:left w:val="nil"/>
              <w:bottom w:val="single" w:sz="12" w:space="0" w:color="auto"/>
              <w:right w:val="single" w:sz="12" w:space="0" w:color="auto"/>
            </w:tcBorders>
            <w:shd w:val="clear" w:color="auto" w:fill="auto"/>
            <w:vAlign w:val="center"/>
            <w:hideMark/>
          </w:tcPr>
          <w:p w:rsidR="00A149AB" w:rsidRDefault="00A149AB">
            <w:pPr>
              <w:jc w:val="center"/>
              <w:rPr>
                <w:b/>
                <w:bCs/>
                <w:color w:val="000000"/>
                <w:sz w:val="22"/>
                <w:szCs w:val="22"/>
              </w:rPr>
            </w:pPr>
            <w:r>
              <w:rPr>
                <w:b/>
                <w:bCs/>
                <w:color w:val="000000"/>
                <w:sz w:val="22"/>
                <w:szCs w:val="22"/>
              </w:rPr>
              <w:t>31/12/20</w:t>
            </w:r>
          </w:p>
        </w:tc>
      </w:tr>
      <w:tr w:rsidR="00A149AB" w:rsidTr="00A149AB">
        <w:trPr>
          <w:trHeight w:val="300"/>
        </w:trPr>
        <w:tc>
          <w:tcPr>
            <w:tcW w:w="2742" w:type="pct"/>
            <w:tcBorders>
              <w:top w:val="nil"/>
              <w:left w:val="single" w:sz="12" w:space="0" w:color="auto"/>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Πελάτες</w:t>
            </w:r>
          </w:p>
        </w:tc>
        <w:tc>
          <w:tcPr>
            <w:tcW w:w="1156" w:type="pct"/>
            <w:tcBorders>
              <w:top w:val="nil"/>
              <w:left w:val="nil"/>
              <w:bottom w:val="nil"/>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248,00</w:t>
            </w:r>
          </w:p>
        </w:tc>
        <w:tc>
          <w:tcPr>
            <w:tcW w:w="1102" w:type="pct"/>
            <w:tcBorders>
              <w:top w:val="nil"/>
              <w:left w:val="nil"/>
              <w:bottom w:val="nil"/>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124,00</w:t>
            </w:r>
          </w:p>
        </w:tc>
      </w:tr>
      <w:tr w:rsidR="00A149AB" w:rsidTr="00A149AB">
        <w:trPr>
          <w:trHeight w:val="288"/>
        </w:trPr>
        <w:tc>
          <w:tcPr>
            <w:tcW w:w="2742" w:type="pct"/>
            <w:tcBorders>
              <w:top w:val="nil"/>
              <w:left w:val="single" w:sz="12" w:space="0" w:color="auto"/>
              <w:bottom w:val="single" w:sz="12" w:space="0" w:color="auto"/>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Σύνολο</w:t>
            </w:r>
          </w:p>
        </w:tc>
        <w:tc>
          <w:tcPr>
            <w:tcW w:w="1156" w:type="pct"/>
            <w:tcBorders>
              <w:top w:val="single" w:sz="8" w:space="0" w:color="auto"/>
              <w:left w:val="nil"/>
              <w:bottom w:val="single" w:sz="8" w:space="0" w:color="auto"/>
              <w:right w:val="single" w:sz="12" w:space="0" w:color="auto"/>
            </w:tcBorders>
            <w:shd w:val="clear" w:color="auto" w:fill="auto"/>
            <w:vAlign w:val="center"/>
            <w:hideMark/>
          </w:tcPr>
          <w:p w:rsidR="00A149AB" w:rsidRDefault="00A149AB">
            <w:pPr>
              <w:jc w:val="right"/>
              <w:rPr>
                <w:b/>
                <w:bCs/>
                <w:color w:val="000000"/>
                <w:sz w:val="22"/>
                <w:szCs w:val="22"/>
              </w:rPr>
            </w:pPr>
            <w:r>
              <w:rPr>
                <w:b/>
                <w:bCs/>
                <w:color w:val="000000"/>
                <w:sz w:val="22"/>
                <w:szCs w:val="22"/>
              </w:rPr>
              <w:t>248,00</w:t>
            </w:r>
          </w:p>
        </w:tc>
        <w:tc>
          <w:tcPr>
            <w:tcW w:w="1102" w:type="pct"/>
            <w:tcBorders>
              <w:top w:val="single" w:sz="8" w:space="0" w:color="auto"/>
              <w:left w:val="nil"/>
              <w:bottom w:val="single" w:sz="8" w:space="0" w:color="auto"/>
              <w:right w:val="single" w:sz="8" w:space="0" w:color="auto"/>
            </w:tcBorders>
            <w:shd w:val="clear" w:color="auto" w:fill="auto"/>
            <w:vAlign w:val="center"/>
            <w:hideMark/>
          </w:tcPr>
          <w:p w:rsidR="00A149AB" w:rsidRDefault="00A149AB">
            <w:pPr>
              <w:jc w:val="right"/>
              <w:rPr>
                <w:b/>
                <w:bCs/>
                <w:color w:val="000000"/>
                <w:sz w:val="22"/>
                <w:szCs w:val="22"/>
              </w:rPr>
            </w:pPr>
            <w:r>
              <w:rPr>
                <w:b/>
                <w:bCs/>
                <w:color w:val="000000"/>
                <w:sz w:val="22"/>
                <w:szCs w:val="22"/>
              </w:rPr>
              <w:t>124,00</w:t>
            </w:r>
          </w:p>
        </w:tc>
      </w:tr>
    </w:tbl>
    <w:p w:rsidR="00A258EC" w:rsidRDefault="00A258EC" w:rsidP="003506D2">
      <w:pPr>
        <w:shd w:val="clear" w:color="auto" w:fill="FFFFFF"/>
        <w:spacing w:after="200" w:line="312" w:lineRule="auto"/>
        <w:ind w:left="284" w:right="14"/>
        <w:rPr>
          <w:sz w:val="22"/>
          <w:szCs w:val="22"/>
          <w:lang w:val="en-US"/>
        </w:rPr>
      </w:pPr>
    </w:p>
    <w:p w:rsidR="00BA3252" w:rsidRPr="00B45F92" w:rsidRDefault="00BA3252" w:rsidP="003506D2">
      <w:pPr>
        <w:shd w:val="clear" w:color="auto" w:fill="FFFFFF"/>
        <w:spacing w:after="200" w:line="312" w:lineRule="auto"/>
        <w:ind w:left="284" w:right="14"/>
        <w:rPr>
          <w:sz w:val="22"/>
          <w:szCs w:val="22"/>
        </w:rPr>
      </w:pPr>
      <w:r w:rsidRPr="00B45F92">
        <w:rPr>
          <w:sz w:val="22"/>
          <w:szCs w:val="22"/>
        </w:rPr>
        <w:t xml:space="preserve"> </w:t>
      </w:r>
    </w:p>
    <w:p w:rsidR="00BA3252" w:rsidRPr="00B45F92" w:rsidRDefault="00BA3252" w:rsidP="003506D2">
      <w:pPr>
        <w:shd w:val="clear" w:color="auto" w:fill="FFFFFF"/>
        <w:spacing w:after="200" w:line="312" w:lineRule="auto"/>
        <w:ind w:left="284" w:right="14" w:hanging="284"/>
        <w:rPr>
          <w:b/>
          <w:sz w:val="22"/>
          <w:szCs w:val="22"/>
        </w:rPr>
      </w:pPr>
      <w:r w:rsidRPr="00B45F92">
        <w:rPr>
          <w:b/>
          <w:sz w:val="22"/>
          <w:szCs w:val="22"/>
        </w:rPr>
        <w:t>7.2.2 Λοιπές απαιτήσεις</w:t>
      </w:r>
    </w:p>
    <w:p w:rsidR="00BA3252" w:rsidRDefault="00BA3252" w:rsidP="003506D2">
      <w:pPr>
        <w:shd w:val="clear" w:color="auto" w:fill="FFFFFF"/>
        <w:spacing w:after="200" w:line="312" w:lineRule="auto"/>
        <w:ind w:left="284" w:right="14"/>
        <w:rPr>
          <w:sz w:val="22"/>
          <w:szCs w:val="22"/>
        </w:rPr>
      </w:pPr>
      <w:r w:rsidRPr="00B45F92">
        <w:rPr>
          <w:sz w:val="22"/>
          <w:szCs w:val="22"/>
        </w:rPr>
        <w:t>Οι λοιπές απαιτήσεις αναλύονται στον κατωτέρω πίνακα:</w:t>
      </w:r>
    </w:p>
    <w:tbl>
      <w:tblPr>
        <w:tblW w:w="5000" w:type="pct"/>
        <w:tblLook w:val="04A0" w:firstRow="1" w:lastRow="0" w:firstColumn="1" w:lastColumn="0" w:noHBand="0" w:noVBand="1"/>
      </w:tblPr>
      <w:tblGrid>
        <w:gridCol w:w="5389"/>
        <w:gridCol w:w="2219"/>
        <w:gridCol w:w="2114"/>
      </w:tblGrid>
      <w:tr w:rsidR="00A149AB" w:rsidTr="00A149AB">
        <w:trPr>
          <w:trHeight w:val="300"/>
        </w:trPr>
        <w:tc>
          <w:tcPr>
            <w:tcW w:w="2772"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lastRenderedPageBreak/>
              <w:t>Λοιπές απαιτήσεις</w:t>
            </w:r>
          </w:p>
        </w:tc>
        <w:tc>
          <w:tcPr>
            <w:tcW w:w="1141" w:type="pct"/>
            <w:tcBorders>
              <w:top w:val="single" w:sz="12" w:space="0" w:color="auto"/>
              <w:left w:val="nil"/>
              <w:bottom w:val="single" w:sz="12" w:space="0" w:color="auto"/>
              <w:right w:val="single" w:sz="12" w:space="0" w:color="auto"/>
            </w:tcBorders>
            <w:shd w:val="clear" w:color="auto" w:fill="auto"/>
            <w:vAlign w:val="center"/>
            <w:hideMark/>
          </w:tcPr>
          <w:p w:rsidR="00A149AB" w:rsidRDefault="00A149AB">
            <w:pPr>
              <w:jc w:val="center"/>
              <w:rPr>
                <w:b/>
                <w:bCs/>
                <w:color w:val="000000"/>
                <w:sz w:val="22"/>
                <w:szCs w:val="22"/>
              </w:rPr>
            </w:pPr>
            <w:r>
              <w:rPr>
                <w:b/>
                <w:bCs/>
                <w:color w:val="000000"/>
                <w:sz w:val="22"/>
                <w:szCs w:val="22"/>
              </w:rPr>
              <w:t>31/12/21</w:t>
            </w:r>
          </w:p>
        </w:tc>
        <w:tc>
          <w:tcPr>
            <w:tcW w:w="1088" w:type="pct"/>
            <w:tcBorders>
              <w:top w:val="single" w:sz="12" w:space="0" w:color="auto"/>
              <w:left w:val="nil"/>
              <w:bottom w:val="single" w:sz="12" w:space="0" w:color="auto"/>
              <w:right w:val="single" w:sz="12" w:space="0" w:color="auto"/>
            </w:tcBorders>
            <w:shd w:val="clear" w:color="auto" w:fill="auto"/>
            <w:vAlign w:val="center"/>
            <w:hideMark/>
          </w:tcPr>
          <w:p w:rsidR="00A149AB" w:rsidRDefault="00A149AB">
            <w:pPr>
              <w:jc w:val="center"/>
              <w:rPr>
                <w:b/>
                <w:bCs/>
                <w:color w:val="000000"/>
                <w:sz w:val="22"/>
                <w:szCs w:val="22"/>
              </w:rPr>
            </w:pPr>
            <w:r>
              <w:rPr>
                <w:b/>
                <w:bCs/>
                <w:color w:val="000000"/>
                <w:sz w:val="22"/>
                <w:szCs w:val="22"/>
              </w:rPr>
              <w:t>31/12/20</w:t>
            </w:r>
          </w:p>
        </w:tc>
      </w:tr>
      <w:tr w:rsidR="00A149AB" w:rsidTr="00A149AB">
        <w:trPr>
          <w:trHeight w:val="288"/>
        </w:trPr>
        <w:tc>
          <w:tcPr>
            <w:tcW w:w="2772" w:type="pct"/>
            <w:tcBorders>
              <w:top w:val="nil"/>
              <w:left w:val="single" w:sz="12" w:space="0" w:color="auto"/>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Χρεώστες διάφοροι</w:t>
            </w:r>
          </w:p>
        </w:tc>
        <w:tc>
          <w:tcPr>
            <w:tcW w:w="1141" w:type="pct"/>
            <w:tcBorders>
              <w:top w:val="nil"/>
              <w:left w:val="nil"/>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33.365,26</w:t>
            </w:r>
          </w:p>
        </w:tc>
        <w:tc>
          <w:tcPr>
            <w:tcW w:w="1088" w:type="pct"/>
            <w:tcBorders>
              <w:top w:val="nil"/>
              <w:left w:val="nil"/>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33.706,16</w:t>
            </w:r>
          </w:p>
        </w:tc>
      </w:tr>
      <w:tr w:rsidR="00A149AB" w:rsidTr="00A149AB">
        <w:trPr>
          <w:trHeight w:val="276"/>
        </w:trPr>
        <w:tc>
          <w:tcPr>
            <w:tcW w:w="2772" w:type="pct"/>
            <w:tcBorders>
              <w:top w:val="nil"/>
              <w:left w:val="single" w:sz="12" w:space="0" w:color="auto"/>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Χρεωστικά Υπόλοιπα Προμηθευτών</w:t>
            </w:r>
          </w:p>
        </w:tc>
        <w:tc>
          <w:tcPr>
            <w:tcW w:w="1141" w:type="pct"/>
            <w:tcBorders>
              <w:top w:val="nil"/>
              <w:left w:val="nil"/>
              <w:bottom w:val="single" w:sz="4" w:space="0" w:color="auto"/>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1.836,42</w:t>
            </w:r>
          </w:p>
        </w:tc>
        <w:tc>
          <w:tcPr>
            <w:tcW w:w="1088" w:type="pct"/>
            <w:tcBorders>
              <w:top w:val="nil"/>
              <w:left w:val="nil"/>
              <w:bottom w:val="single" w:sz="4" w:space="0" w:color="auto"/>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1.119,25</w:t>
            </w:r>
          </w:p>
        </w:tc>
      </w:tr>
      <w:tr w:rsidR="00A149AB" w:rsidTr="00A149AB">
        <w:trPr>
          <w:trHeight w:val="288"/>
        </w:trPr>
        <w:tc>
          <w:tcPr>
            <w:tcW w:w="2772" w:type="pct"/>
            <w:tcBorders>
              <w:top w:val="nil"/>
              <w:left w:val="single" w:sz="12" w:space="0" w:color="auto"/>
              <w:bottom w:val="single" w:sz="12" w:space="0" w:color="auto"/>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Σύνολο</w:t>
            </w:r>
          </w:p>
        </w:tc>
        <w:tc>
          <w:tcPr>
            <w:tcW w:w="1141" w:type="pct"/>
            <w:tcBorders>
              <w:top w:val="single" w:sz="4" w:space="0" w:color="auto"/>
              <w:left w:val="nil"/>
              <w:bottom w:val="double" w:sz="6" w:space="0" w:color="auto"/>
              <w:right w:val="single" w:sz="12" w:space="0" w:color="auto"/>
            </w:tcBorders>
            <w:shd w:val="clear" w:color="auto" w:fill="auto"/>
            <w:vAlign w:val="center"/>
            <w:hideMark/>
          </w:tcPr>
          <w:p w:rsidR="00A149AB" w:rsidRDefault="00A149AB">
            <w:pPr>
              <w:jc w:val="right"/>
              <w:rPr>
                <w:b/>
                <w:bCs/>
                <w:color w:val="000000"/>
                <w:sz w:val="22"/>
                <w:szCs w:val="22"/>
              </w:rPr>
            </w:pPr>
            <w:r>
              <w:rPr>
                <w:b/>
                <w:bCs/>
                <w:color w:val="000000"/>
                <w:sz w:val="22"/>
                <w:szCs w:val="22"/>
              </w:rPr>
              <w:t>35.201,68</w:t>
            </w:r>
          </w:p>
        </w:tc>
        <w:tc>
          <w:tcPr>
            <w:tcW w:w="1088" w:type="pct"/>
            <w:tcBorders>
              <w:top w:val="single" w:sz="4" w:space="0" w:color="auto"/>
              <w:left w:val="nil"/>
              <w:bottom w:val="double" w:sz="6" w:space="0" w:color="auto"/>
              <w:right w:val="single" w:sz="12" w:space="0" w:color="auto"/>
            </w:tcBorders>
            <w:shd w:val="clear" w:color="auto" w:fill="auto"/>
            <w:vAlign w:val="center"/>
            <w:hideMark/>
          </w:tcPr>
          <w:p w:rsidR="00A149AB" w:rsidRDefault="00A149AB">
            <w:pPr>
              <w:jc w:val="right"/>
              <w:rPr>
                <w:b/>
                <w:bCs/>
                <w:color w:val="000000"/>
                <w:sz w:val="22"/>
                <w:szCs w:val="22"/>
              </w:rPr>
            </w:pPr>
            <w:r>
              <w:rPr>
                <w:b/>
                <w:bCs/>
                <w:color w:val="000000"/>
                <w:sz w:val="22"/>
                <w:szCs w:val="22"/>
              </w:rPr>
              <w:t>34.825,41</w:t>
            </w:r>
          </w:p>
        </w:tc>
      </w:tr>
    </w:tbl>
    <w:p w:rsidR="00777970" w:rsidRDefault="00777970" w:rsidP="003506D2">
      <w:pPr>
        <w:shd w:val="clear" w:color="auto" w:fill="FFFFFF"/>
        <w:spacing w:after="200" w:line="312" w:lineRule="auto"/>
        <w:ind w:left="284" w:right="14"/>
        <w:rPr>
          <w:sz w:val="22"/>
          <w:szCs w:val="22"/>
        </w:rPr>
      </w:pPr>
    </w:p>
    <w:p w:rsidR="00A52886" w:rsidRPr="00B45F92" w:rsidRDefault="00A52886" w:rsidP="00A52886">
      <w:pPr>
        <w:shd w:val="clear" w:color="auto" w:fill="FFFFFF"/>
        <w:spacing w:after="200" w:line="276" w:lineRule="auto"/>
        <w:ind w:left="284" w:right="14" w:hanging="284"/>
        <w:rPr>
          <w:b/>
          <w:sz w:val="22"/>
          <w:szCs w:val="22"/>
        </w:rPr>
      </w:pPr>
      <w:r w:rsidRPr="00B45F92">
        <w:rPr>
          <w:b/>
          <w:sz w:val="22"/>
          <w:szCs w:val="22"/>
        </w:rPr>
        <w:t xml:space="preserve">7.2.3 </w:t>
      </w:r>
      <w:r w:rsidR="00FC253D" w:rsidRPr="00B45F92">
        <w:rPr>
          <w:b/>
          <w:sz w:val="22"/>
          <w:szCs w:val="22"/>
        </w:rPr>
        <w:t xml:space="preserve">Ταμειακά </w:t>
      </w:r>
      <w:r w:rsidRPr="00B45F92">
        <w:rPr>
          <w:b/>
          <w:sz w:val="22"/>
          <w:szCs w:val="22"/>
        </w:rPr>
        <w:t>διαθέσιμα</w:t>
      </w:r>
      <w:r w:rsidR="00FC253D" w:rsidRPr="00B45F92">
        <w:rPr>
          <w:b/>
          <w:sz w:val="22"/>
          <w:szCs w:val="22"/>
        </w:rPr>
        <w:t xml:space="preserve"> και ισοδύναμα</w:t>
      </w:r>
    </w:p>
    <w:p w:rsidR="00A52886" w:rsidRPr="00B45F92" w:rsidRDefault="00A52886" w:rsidP="00A52886">
      <w:pPr>
        <w:shd w:val="clear" w:color="auto" w:fill="FFFFFF"/>
        <w:spacing w:after="200" w:line="276" w:lineRule="auto"/>
        <w:ind w:left="284" w:right="14"/>
        <w:rPr>
          <w:sz w:val="22"/>
          <w:szCs w:val="22"/>
        </w:rPr>
      </w:pPr>
      <w:r w:rsidRPr="00B45F92">
        <w:rPr>
          <w:sz w:val="22"/>
          <w:szCs w:val="22"/>
        </w:rPr>
        <w:t xml:space="preserve">Τα </w:t>
      </w:r>
      <w:r w:rsidR="00FC253D" w:rsidRPr="00B45F92">
        <w:rPr>
          <w:sz w:val="22"/>
          <w:szCs w:val="22"/>
        </w:rPr>
        <w:t xml:space="preserve">ταμειακά διαθέσιμα και ισοδύναμα </w:t>
      </w:r>
      <w:r w:rsidRPr="00B45F92">
        <w:rPr>
          <w:sz w:val="22"/>
          <w:szCs w:val="22"/>
        </w:rPr>
        <w:t>αναλύονται στον κατωτέρω πίνακα:</w:t>
      </w:r>
    </w:p>
    <w:tbl>
      <w:tblPr>
        <w:tblW w:w="5000" w:type="pct"/>
        <w:tblLook w:val="04A0" w:firstRow="1" w:lastRow="0" w:firstColumn="1" w:lastColumn="0" w:noHBand="0" w:noVBand="1"/>
      </w:tblPr>
      <w:tblGrid>
        <w:gridCol w:w="5373"/>
        <w:gridCol w:w="2267"/>
        <w:gridCol w:w="2082"/>
      </w:tblGrid>
      <w:tr w:rsidR="00A149AB" w:rsidTr="00A149AB">
        <w:trPr>
          <w:trHeight w:val="300"/>
        </w:trPr>
        <w:tc>
          <w:tcPr>
            <w:tcW w:w="2763"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Ταμειακά διαθέσιμα και ισοδύναμα</w:t>
            </w:r>
          </w:p>
        </w:tc>
        <w:tc>
          <w:tcPr>
            <w:tcW w:w="1166" w:type="pct"/>
            <w:tcBorders>
              <w:top w:val="single" w:sz="12" w:space="0" w:color="auto"/>
              <w:left w:val="nil"/>
              <w:bottom w:val="single" w:sz="12" w:space="0" w:color="auto"/>
              <w:right w:val="single" w:sz="12" w:space="0" w:color="auto"/>
            </w:tcBorders>
            <w:shd w:val="clear" w:color="auto" w:fill="auto"/>
            <w:vAlign w:val="center"/>
            <w:hideMark/>
          </w:tcPr>
          <w:p w:rsidR="00A149AB" w:rsidRDefault="00A149AB">
            <w:pPr>
              <w:jc w:val="center"/>
              <w:rPr>
                <w:b/>
                <w:bCs/>
                <w:color w:val="000000"/>
                <w:sz w:val="22"/>
                <w:szCs w:val="22"/>
              </w:rPr>
            </w:pPr>
            <w:r>
              <w:rPr>
                <w:b/>
                <w:bCs/>
                <w:color w:val="000000"/>
                <w:sz w:val="22"/>
                <w:szCs w:val="22"/>
              </w:rPr>
              <w:t>31/12/21</w:t>
            </w:r>
          </w:p>
        </w:tc>
        <w:tc>
          <w:tcPr>
            <w:tcW w:w="1071" w:type="pct"/>
            <w:tcBorders>
              <w:top w:val="single" w:sz="12" w:space="0" w:color="auto"/>
              <w:left w:val="nil"/>
              <w:bottom w:val="single" w:sz="12" w:space="0" w:color="auto"/>
              <w:right w:val="single" w:sz="12" w:space="0" w:color="auto"/>
            </w:tcBorders>
            <w:shd w:val="clear" w:color="auto" w:fill="auto"/>
            <w:vAlign w:val="center"/>
            <w:hideMark/>
          </w:tcPr>
          <w:p w:rsidR="00A149AB" w:rsidRDefault="00A149AB">
            <w:pPr>
              <w:jc w:val="center"/>
              <w:rPr>
                <w:b/>
                <w:bCs/>
                <w:color w:val="000000"/>
                <w:sz w:val="22"/>
                <w:szCs w:val="22"/>
              </w:rPr>
            </w:pPr>
            <w:r>
              <w:rPr>
                <w:b/>
                <w:bCs/>
                <w:color w:val="000000"/>
                <w:sz w:val="22"/>
                <w:szCs w:val="22"/>
              </w:rPr>
              <w:t>31/12/20</w:t>
            </w:r>
          </w:p>
        </w:tc>
      </w:tr>
      <w:tr w:rsidR="00A149AB" w:rsidTr="00A149AB">
        <w:trPr>
          <w:trHeight w:val="288"/>
        </w:trPr>
        <w:tc>
          <w:tcPr>
            <w:tcW w:w="2763" w:type="pct"/>
            <w:tcBorders>
              <w:top w:val="nil"/>
              <w:left w:val="single" w:sz="12" w:space="0" w:color="auto"/>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Ταμείο</w:t>
            </w:r>
          </w:p>
        </w:tc>
        <w:tc>
          <w:tcPr>
            <w:tcW w:w="1166" w:type="pct"/>
            <w:tcBorders>
              <w:top w:val="nil"/>
              <w:left w:val="nil"/>
              <w:bottom w:val="nil"/>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295,03</w:t>
            </w:r>
          </w:p>
        </w:tc>
        <w:tc>
          <w:tcPr>
            <w:tcW w:w="1071" w:type="pct"/>
            <w:tcBorders>
              <w:top w:val="nil"/>
              <w:left w:val="nil"/>
              <w:bottom w:val="nil"/>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69,03</w:t>
            </w:r>
          </w:p>
        </w:tc>
      </w:tr>
      <w:tr w:rsidR="00A149AB" w:rsidTr="00A149AB">
        <w:trPr>
          <w:trHeight w:val="276"/>
        </w:trPr>
        <w:tc>
          <w:tcPr>
            <w:tcW w:w="2763" w:type="pct"/>
            <w:tcBorders>
              <w:top w:val="nil"/>
              <w:left w:val="single" w:sz="12" w:space="0" w:color="auto"/>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Καταθέσεις όψεως</w:t>
            </w:r>
          </w:p>
        </w:tc>
        <w:tc>
          <w:tcPr>
            <w:tcW w:w="1166" w:type="pct"/>
            <w:tcBorders>
              <w:top w:val="nil"/>
              <w:left w:val="nil"/>
              <w:bottom w:val="single" w:sz="4" w:space="0" w:color="auto"/>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4.788,26</w:t>
            </w:r>
          </w:p>
        </w:tc>
        <w:tc>
          <w:tcPr>
            <w:tcW w:w="1071" w:type="pct"/>
            <w:tcBorders>
              <w:top w:val="nil"/>
              <w:left w:val="nil"/>
              <w:bottom w:val="single" w:sz="4" w:space="0" w:color="auto"/>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6.189,09</w:t>
            </w:r>
          </w:p>
        </w:tc>
      </w:tr>
      <w:tr w:rsidR="00A149AB" w:rsidTr="00A149AB">
        <w:trPr>
          <w:trHeight w:val="288"/>
        </w:trPr>
        <w:tc>
          <w:tcPr>
            <w:tcW w:w="2763" w:type="pct"/>
            <w:tcBorders>
              <w:top w:val="nil"/>
              <w:left w:val="single" w:sz="12" w:space="0" w:color="auto"/>
              <w:bottom w:val="single" w:sz="12" w:space="0" w:color="auto"/>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Σύνολο</w:t>
            </w:r>
          </w:p>
        </w:tc>
        <w:tc>
          <w:tcPr>
            <w:tcW w:w="1166" w:type="pct"/>
            <w:tcBorders>
              <w:top w:val="nil"/>
              <w:left w:val="nil"/>
              <w:bottom w:val="double" w:sz="6" w:space="0" w:color="auto"/>
              <w:right w:val="single" w:sz="12" w:space="0" w:color="auto"/>
            </w:tcBorders>
            <w:shd w:val="clear" w:color="auto" w:fill="auto"/>
            <w:vAlign w:val="center"/>
            <w:hideMark/>
          </w:tcPr>
          <w:p w:rsidR="00A149AB" w:rsidRDefault="00A149AB">
            <w:pPr>
              <w:jc w:val="right"/>
              <w:rPr>
                <w:b/>
                <w:bCs/>
                <w:color w:val="000000"/>
                <w:sz w:val="22"/>
                <w:szCs w:val="22"/>
              </w:rPr>
            </w:pPr>
            <w:r>
              <w:rPr>
                <w:b/>
                <w:bCs/>
                <w:color w:val="000000"/>
                <w:sz w:val="22"/>
                <w:szCs w:val="22"/>
              </w:rPr>
              <w:t>5.083,29</w:t>
            </w:r>
          </w:p>
        </w:tc>
        <w:tc>
          <w:tcPr>
            <w:tcW w:w="1071" w:type="pct"/>
            <w:tcBorders>
              <w:top w:val="nil"/>
              <w:left w:val="nil"/>
              <w:bottom w:val="double" w:sz="6" w:space="0" w:color="auto"/>
              <w:right w:val="single" w:sz="12" w:space="0" w:color="auto"/>
            </w:tcBorders>
            <w:shd w:val="clear" w:color="auto" w:fill="auto"/>
            <w:vAlign w:val="center"/>
            <w:hideMark/>
          </w:tcPr>
          <w:p w:rsidR="00A149AB" w:rsidRDefault="00A149AB">
            <w:pPr>
              <w:jc w:val="right"/>
              <w:rPr>
                <w:b/>
                <w:bCs/>
                <w:color w:val="000000"/>
                <w:sz w:val="22"/>
                <w:szCs w:val="22"/>
              </w:rPr>
            </w:pPr>
            <w:r>
              <w:rPr>
                <w:b/>
                <w:bCs/>
                <w:color w:val="000000"/>
                <w:sz w:val="22"/>
                <w:szCs w:val="22"/>
              </w:rPr>
              <w:t>6.258,12</w:t>
            </w:r>
          </w:p>
        </w:tc>
      </w:tr>
    </w:tbl>
    <w:p w:rsidR="00B45F92" w:rsidRDefault="00B45F92" w:rsidP="00A52886">
      <w:pPr>
        <w:shd w:val="clear" w:color="auto" w:fill="FFFFFF"/>
        <w:spacing w:after="200" w:line="276" w:lineRule="auto"/>
        <w:ind w:left="284" w:right="14"/>
        <w:rPr>
          <w:sz w:val="22"/>
          <w:szCs w:val="22"/>
          <w:highlight w:val="yellow"/>
        </w:rPr>
      </w:pPr>
    </w:p>
    <w:p w:rsidR="00FF2F42" w:rsidRPr="00B45F92" w:rsidRDefault="00CA307D" w:rsidP="006949A7">
      <w:pPr>
        <w:pStyle w:val="1"/>
        <w:jc w:val="left"/>
      </w:pPr>
      <w:bookmarkStart w:id="33" w:name="_Toc488058540"/>
      <w:bookmarkStart w:id="34" w:name="_Toc15546001"/>
      <w:r w:rsidRPr="00B45F92">
        <w:t>8</w:t>
      </w:r>
      <w:r w:rsidR="00FF2F42" w:rsidRPr="00B45F92">
        <w:t>. Λ</w:t>
      </w:r>
      <w:r w:rsidR="00C75F51" w:rsidRPr="00B45F92">
        <w:t>ογαριασμοί καθαρής θέσεως</w:t>
      </w:r>
      <w:bookmarkEnd w:id="33"/>
      <w:bookmarkEnd w:id="34"/>
    </w:p>
    <w:p w:rsidR="000F132F" w:rsidRPr="00B45F92" w:rsidRDefault="000F132F" w:rsidP="000F132F">
      <w:pPr>
        <w:rPr>
          <w:sz w:val="16"/>
          <w:szCs w:val="16"/>
          <w:lang w:eastAsia="en-US"/>
        </w:rPr>
      </w:pPr>
    </w:p>
    <w:p w:rsidR="00FF2F42" w:rsidRPr="00B45F92" w:rsidRDefault="00FF2F42" w:rsidP="00B82D0D">
      <w:pPr>
        <w:shd w:val="clear" w:color="auto" w:fill="FFFFFF"/>
        <w:spacing w:after="200" w:line="276" w:lineRule="auto"/>
        <w:ind w:left="5" w:right="14" w:firstLine="562"/>
        <w:jc w:val="both"/>
        <w:rPr>
          <w:sz w:val="22"/>
          <w:szCs w:val="22"/>
        </w:rPr>
      </w:pPr>
      <w:r w:rsidRPr="00B45F92">
        <w:rPr>
          <w:sz w:val="22"/>
          <w:szCs w:val="22"/>
        </w:rPr>
        <w:t xml:space="preserve">Το καταβλημένο μετοχικό κεφάλαιο της εταιρείας διαιρείται σε </w:t>
      </w:r>
      <w:r w:rsidR="000565DD" w:rsidRPr="00B45F92">
        <w:rPr>
          <w:sz w:val="22"/>
          <w:szCs w:val="22"/>
        </w:rPr>
        <w:t>1.005.500</w:t>
      </w:r>
      <w:r w:rsidRPr="00B45F92">
        <w:rPr>
          <w:sz w:val="22"/>
          <w:szCs w:val="22"/>
        </w:rPr>
        <w:t xml:space="preserve"> κοινές με δικαίωμα ψήφου μετοχές ονομαστικής αξίας € </w:t>
      </w:r>
      <w:r w:rsidR="00B73794" w:rsidRPr="00B45F92">
        <w:rPr>
          <w:sz w:val="22"/>
          <w:szCs w:val="22"/>
        </w:rPr>
        <w:t>1,00</w:t>
      </w:r>
      <w:r w:rsidRPr="00B45F92">
        <w:rPr>
          <w:sz w:val="22"/>
          <w:szCs w:val="22"/>
        </w:rPr>
        <w:t xml:space="preserve"> η κάθε μία και ανέρχεται σε € </w:t>
      </w:r>
      <w:r w:rsidR="00B73794" w:rsidRPr="00B45F92">
        <w:rPr>
          <w:sz w:val="22"/>
          <w:szCs w:val="22"/>
        </w:rPr>
        <w:t>1.005.500,00</w:t>
      </w:r>
      <w:r w:rsidRPr="00B45F92">
        <w:rPr>
          <w:sz w:val="22"/>
          <w:szCs w:val="22"/>
        </w:rPr>
        <w:t>.</w:t>
      </w:r>
      <w:r w:rsidR="009E761E" w:rsidRPr="00B45F92">
        <w:rPr>
          <w:sz w:val="22"/>
          <w:szCs w:val="22"/>
        </w:rPr>
        <w:t xml:space="preserve"> </w:t>
      </w:r>
      <w:r w:rsidR="00FA1785" w:rsidRPr="00B45F92">
        <w:rPr>
          <w:sz w:val="22"/>
          <w:szCs w:val="22"/>
        </w:rPr>
        <w:t xml:space="preserve">Το αποθεματικό υπέρ το άρτιο </w:t>
      </w:r>
      <w:r w:rsidR="0042763F" w:rsidRPr="00B45F92">
        <w:rPr>
          <w:sz w:val="22"/>
          <w:szCs w:val="22"/>
        </w:rPr>
        <w:t xml:space="preserve">ανέρχεται στο ποσό </w:t>
      </w:r>
      <w:r w:rsidR="00FA1785" w:rsidRPr="00B45F92">
        <w:rPr>
          <w:sz w:val="22"/>
          <w:szCs w:val="22"/>
        </w:rPr>
        <w:t>€ 1.336.500,00</w:t>
      </w:r>
      <w:r w:rsidR="001E115A" w:rsidRPr="00B45F92">
        <w:rPr>
          <w:sz w:val="22"/>
          <w:szCs w:val="22"/>
        </w:rPr>
        <w:t>.</w:t>
      </w:r>
    </w:p>
    <w:p w:rsidR="006065B5" w:rsidRPr="00B45F92" w:rsidRDefault="006065B5" w:rsidP="00F92EA8">
      <w:pPr>
        <w:pStyle w:val="a8"/>
      </w:pPr>
    </w:p>
    <w:p w:rsidR="00F125A1" w:rsidRPr="00B45F92" w:rsidRDefault="00FF2F42" w:rsidP="00F14C81">
      <w:pPr>
        <w:pStyle w:val="1"/>
        <w:jc w:val="left"/>
        <w:rPr>
          <w:lang w:val="el-GR"/>
        </w:rPr>
      </w:pPr>
      <w:bookmarkStart w:id="35" w:name="_Toc488058541"/>
      <w:bookmarkStart w:id="36" w:name="_Toc15546002"/>
      <w:r w:rsidRPr="00B45F92">
        <w:rPr>
          <w:sz w:val="22"/>
          <w:szCs w:val="22"/>
        </w:rPr>
        <w:t>﻿</w:t>
      </w:r>
      <w:r w:rsidR="00F125A1" w:rsidRPr="00B45F92">
        <w:t>9. Προβλέψεις</w:t>
      </w:r>
      <w:bookmarkEnd w:id="35"/>
      <w:bookmarkEnd w:id="36"/>
    </w:p>
    <w:p w:rsidR="00CF57A4" w:rsidRPr="00B45F92" w:rsidRDefault="00CF57A4" w:rsidP="00CF57A4">
      <w:pPr>
        <w:rPr>
          <w:lang w:eastAsia="en-US"/>
        </w:rPr>
      </w:pPr>
    </w:p>
    <w:p w:rsidR="00F125A1" w:rsidRPr="00B45F92" w:rsidRDefault="00F125A1" w:rsidP="00B82D0D">
      <w:pPr>
        <w:shd w:val="clear" w:color="auto" w:fill="FFFFFF"/>
        <w:spacing w:after="200" w:line="276" w:lineRule="auto"/>
        <w:ind w:left="284" w:right="14" w:hanging="284"/>
        <w:rPr>
          <w:b/>
          <w:sz w:val="22"/>
          <w:szCs w:val="22"/>
        </w:rPr>
      </w:pPr>
      <w:r w:rsidRPr="00B45F92">
        <w:rPr>
          <w:b/>
          <w:sz w:val="22"/>
          <w:szCs w:val="22"/>
        </w:rPr>
        <w:t>9.1 Πρόβλεψη αποζημίωσης προσωπικού λόγω αποχωρήσεως από την υπηρεσία</w:t>
      </w:r>
    </w:p>
    <w:p w:rsidR="00F125A1" w:rsidRPr="00B45F92" w:rsidRDefault="005759FC" w:rsidP="00B82D0D">
      <w:pPr>
        <w:shd w:val="clear" w:color="auto" w:fill="FFFFFF"/>
        <w:spacing w:after="200" w:line="276" w:lineRule="auto"/>
        <w:ind w:left="5" w:right="14" w:firstLine="562"/>
        <w:jc w:val="both"/>
        <w:rPr>
          <w:sz w:val="22"/>
          <w:szCs w:val="22"/>
        </w:rPr>
      </w:pPr>
      <w:r w:rsidRPr="00B45F92">
        <w:rPr>
          <w:sz w:val="22"/>
          <w:szCs w:val="22"/>
        </w:rPr>
        <w:t xml:space="preserve">Δεν έχει καταχωρηθεί πρόβλεψη </w:t>
      </w:r>
      <w:r w:rsidR="00F125A1" w:rsidRPr="00B45F92">
        <w:rPr>
          <w:sz w:val="22"/>
          <w:szCs w:val="22"/>
        </w:rPr>
        <w:t>υποχρέωσης για παροχές σε εργαζομένους</w:t>
      </w:r>
      <w:r w:rsidRPr="00B45F92">
        <w:rPr>
          <w:sz w:val="22"/>
          <w:szCs w:val="22"/>
        </w:rPr>
        <w:t>.</w:t>
      </w:r>
    </w:p>
    <w:p w:rsidR="00F125A1" w:rsidRPr="00B45F92" w:rsidRDefault="00F125A1" w:rsidP="003554D4">
      <w:pPr>
        <w:shd w:val="clear" w:color="auto" w:fill="FFFFFF"/>
        <w:spacing w:after="200" w:line="228" w:lineRule="auto"/>
        <w:ind w:left="284" w:right="14" w:hanging="284"/>
        <w:rPr>
          <w:b/>
          <w:sz w:val="22"/>
          <w:szCs w:val="22"/>
        </w:rPr>
      </w:pPr>
      <w:r w:rsidRPr="00B45F92">
        <w:rPr>
          <w:b/>
          <w:sz w:val="22"/>
          <w:szCs w:val="22"/>
        </w:rPr>
        <w:t>9.2 Λοιπές προβλέψεις</w:t>
      </w:r>
    </w:p>
    <w:p w:rsidR="00804C01" w:rsidRPr="00B45F92" w:rsidRDefault="00635E18" w:rsidP="00804C01">
      <w:pPr>
        <w:shd w:val="clear" w:color="auto" w:fill="FFFFFF"/>
        <w:spacing w:after="200" w:line="228" w:lineRule="auto"/>
        <w:ind w:left="284" w:right="14"/>
        <w:rPr>
          <w:sz w:val="22"/>
          <w:szCs w:val="22"/>
        </w:rPr>
      </w:pPr>
      <w:r w:rsidRPr="00B45F92">
        <w:rPr>
          <w:sz w:val="22"/>
          <w:szCs w:val="22"/>
        </w:rPr>
        <w:t>Δεν υφίστανται λοιπές προβλέψεις.</w:t>
      </w:r>
    </w:p>
    <w:p w:rsidR="00B45F92" w:rsidRDefault="00B45F92" w:rsidP="003554D4">
      <w:pPr>
        <w:pStyle w:val="1"/>
        <w:spacing w:line="228" w:lineRule="auto"/>
        <w:jc w:val="left"/>
        <w:rPr>
          <w:highlight w:val="yellow"/>
        </w:rPr>
      </w:pPr>
      <w:bookmarkStart w:id="37" w:name="_Toc488058542"/>
    </w:p>
    <w:p w:rsidR="00EF28E4" w:rsidRPr="00FA0511" w:rsidRDefault="00F75E42" w:rsidP="003554D4">
      <w:pPr>
        <w:pStyle w:val="1"/>
        <w:spacing w:line="228" w:lineRule="auto"/>
        <w:jc w:val="left"/>
      </w:pPr>
      <w:bookmarkStart w:id="38" w:name="_Toc15546003"/>
      <w:r w:rsidRPr="00FA0511">
        <w:t>10</w:t>
      </w:r>
      <w:r w:rsidR="00FF2F42" w:rsidRPr="00FA0511">
        <w:t>. Υ</w:t>
      </w:r>
      <w:r w:rsidR="00C75F51" w:rsidRPr="00FA0511">
        <w:t>ποχρεώσεις</w:t>
      </w:r>
      <w:bookmarkEnd w:id="37"/>
      <w:bookmarkEnd w:id="38"/>
    </w:p>
    <w:p w:rsidR="00F92EA8" w:rsidRPr="00FA0511" w:rsidRDefault="00F92EA8" w:rsidP="003554D4">
      <w:pPr>
        <w:spacing w:line="228" w:lineRule="auto"/>
        <w:rPr>
          <w:sz w:val="16"/>
          <w:szCs w:val="16"/>
          <w:lang w:eastAsia="en-US"/>
        </w:rPr>
      </w:pPr>
    </w:p>
    <w:p w:rsidR="009B619A" w:rsidRPr="00FA0511" w:rsidRDefault="009B619A" w:rsidP="003554D4">
      <w:pPr>
        <w:shd w:val="clear" w:color="auto" w:fill="FFFFFF"/>
        <w:spacing w:after="200" w:line="228" w:lineRule="auto"/>
        <w:ind w:left="284" w:right="14" w:hanging="284"/>
        <w:rPr>
          <w:b/>
          <w:sz w:val="22"/>
          <w:szCs w:val="22"/>
        </w:rPr>
      </w:pPr>
      <w:r w:rsidRPr="00FA0511">
        <w:rPr>
          <w:b/>
          <w:sz w:val="22"/>
          <w:szCs w:val="22"/>
        </w:rPr>
        <w:t>10.1 Μακροπρόθεσμ</w:t>
      </w:r>
      <w:r w:rsidR="00070498" w:rsidRPr="00FA0511">
        <w:rPr>
          <w:b/>
          <w:sz w:val="22"/>
          <w:szCs w:val="22"/>
        </w:rPr>
        <w:t>ες</w:t>
      </w:r>
      <w:r w:rsidRPr="00FA0511">
        <w:rPr>
          <w:b/>
          <w:sz w:val="22"/>
          <w:szCs w:val="22"/>
        </w:rPr>
        <w:t xml:space="preserve"> Υποχρεώσεις</w:t>
      </w:r>
    </w:p>
    <w:p w:rsidR="009B619A" w:rsidRPr="00FA0511" w:rsidRDefault="009B619A" w:rsidP="003554D4">
      <w:pPr>
        <w:shd w:val="clear" w:color="auto" w:fill="FFFFFF"/>
        <w:spacing w:after="200" w:line="228" w:lineRule="auto"/>
        <w:ind w:left="284" w:right="14" w:hanging="284"/>
        <w:rPr>
          <w:b/>
          <w:sz w:val="22"/>
          <w:szCs w:val="22"/>
        </w:rPr>
      </w:pPr>
      <w:r w:rsidRPr="00FA0511">
        <w:rPr>
          <w:b/>
          <w:sz w:val="22"/>
          <w:szCs w:val="22"/>
        </w:rPr>
        <w:t>10.1.1 Δάνεια</w:t>
      </w:r>
    </w:p>
    <w:p w:rsidR="00B56F15" w:rsidRPr="00FA0511" w:rsidRDefault="00456A85" w:rsidP="00B56F15">
      <w:pPr>
        <w:shd w:val="clear" w:color="auto" w:fill="FFFFFF"/>
        <w:spacing w:after="200" w:line="228" w:lineRule="auto"/>
        <w:ind w:left="5" w:right="14" w:firstLine="562"/>
        <w:jc w:val="both"/>
        <w:rPr>
          <w:sz w:val="22"/>
          <w:szCs w:val="22"/>
        </w:rPr>
      </w:pPr>
      <w:r w:rsidRPr="00FA0511">
        <w:rPr>
          <w:sz w:val="22"/>
          <w:szCs w:val="22"/>
        </w:rPr>
        <w:t>Δεν υφίστανται δανειακές υποχρεώσεις.</w:t>
      </w:r>
    </w:p>
    <w:p w:rsidR="009B619A" w:rsidRPr="00FA0511" w:rsidRDefault="00FF2F42" w:rsidP="006D6F7B">
      <w:pPr>
        <w:shd w:val="clear" w:color="auto" w:fill="FFFFFF"/>
        <w:spacing w:after="200" w:line="276" w:lineRule="auto"/>
        <w:ind w:left="567" w:right="14" w:hanging="567"/>
        <w:rPr>
          <w:b/>
          <w:sz w:val="22"/>
          <w:szCs w:val="22"/>
        </w:rPr>
      </w:pPr>
      <w:r w:rsidRPr="00FA0511">
        <w:rPr>
          <w:sz w:val="22"/>
          <w:szCs w:val="22"/>
        </w:rPr>
        <w:t>﻿</w:t>
      </w:r>
      <w:r w:rsidR="009B619A" w:rsidRPr="00FA0511">
        <w:rPr>
          <w:b/>
          <w:sz w:val="22"/>
          <w:szCs w:val="22"/>
        </w:rPr>
        <w:t xml:space="preserve">10.1.2 Λοιπές μακροπρόθεσμες υποχρεώσεις </w:t>
      </w:r>
    </w:p>
    <w:p w:rsidR="00C36C5C" w:rsidRPr="00FA0511" w:rsidRDefault="00647BE1" w:rsidP="00647BE1">
      <w:pPr>
        <w:shd w:val="clear" w:color="auto" w:fill="FFFFFF"/>
        <w:spacing w:after="200" w:line="228" w:lineRule="auto"/>
        <w:ind w:left="5" w:right="14" w:firstLine="562"/>
        <w:jc w:val="both"/>
        <w:rPr>
          <w:sz w:val="22"/>
          <w:szCs w:val="22"/>
        </w:rPr>
      </w:pPr>
      <w:r w:rsidRPr="00FA0511">
        <w:rPr>
          <w:sz w:val="22"/>
          <w:szCs w:val="22"/>
        </w:rPr>
        <w:t>Δεν υφίστανται μακροπρόθεσμες υποχρεώσεις</w:t>
      </w:r>
      <w:r w:rsidR="00B45F92" w:rsidRPr="00FA0511">
        <w:rPr>
          <w:sz w:val="22"/>
          <w:szCs w:val="22"/>
        </w:rPr>
        <w:t>.</w:t>
      </w:r>
    </w:p>
    <w:p w:rsidR="009B619A" w:rsidRPr="00FA0511" w:rsidRDefault="009B619A" w:rsidP="00B82D0D">
      <w:pPr>
        <w:shd w:val="clear" w:color="auto" w:fill="FFFFFF"/>
        <w:spacing w:after="200" w:line="276" w:lineRule="auto"/>
        <w:ind w:left="284" w:right="14" w:hanging="284"/>
        <w:rPr>
          <w:b/>
          <w:sz w:val="22"/>
          <w:szCs w:val="22"/>
        </w:rPr>
      </w:pPr>
      <w:r w:rsidRPr="00FA0511">
        <w:rPr>
          <w:b/>
          <w:sz w:val="22"/>
          <w:szCs w:val="22"/>
        </w:rPr>
        <w:t xml:space="preserve">10.1.3 Κρατικές επιχορηγήσεις </w:t>
      </w:r>
    </w:p>
    <w:p w:rsidR="00B45F92" w:rsidRPr="00FA0511" w:rsidRDefault="00B45F92" w:rsidP="00B45F92">
      <w:pPr>
        <w:shd w:val="clear" w:color="auto" w:fill="FFFFFF"/>
        <w:spacing w:after="200" w:line="228" w:lineRule="auto"/>
        <w:ind w:left="5" w:right="14" w:firstLine="562"/>
        <w:jc w:val="both"/>
        <w:rPr>
          <w:sz w:val="22"/>
          <w:szCs w:val="22"/>
        </w:rPr>
      </w:pPr>
      <w:r w:rsidRPr="00FA0511">
        <w:rPr>
          <w:sz w:val="22"/>
          <w:szCs w:val="22"/>
        </w:rPr>
        <w:t>Δεν υφίστανται κρατικές επιχορηγήσεις.</w:t>
      </w:r>
    </w:p>
    <w:p w:rsidR="00070498" w:rsidRPr="00FA0511" w:rsidRDefault="00070498" w:rsidP="00B82D0D">
      <w:pPr>
        <w:shd w:val="clear" w:color="auto" w:fill="FFFFFF"/>
        <w:spacing w:after="200" w:line="276" w:lineRule="auto"/>
        <w:ind w:left="284" w:right="14" w:hanging="284"/>
        <w:rPr>
          <w:b/>
          <w:sz w:val="22"/>
          <w:szCs w:val="22"/>
        </w:rPr>
      </w:pPr>
      <w:r w:rsidRPr="00FA0511">
        <w:rPr>
          <w:b/>
          <w:sz w:val="22"/>
          <w:szCs w:val="22"/>
        </w:rPr>
        <w:t>10.2 Βραχυπρόθεσμες Υποχρεώσεις</w:t>
      </w:r>
    </w:p>
    <w:p w:rsidR="00070498" w:rsidRPr="00FA0511" w:rsidRDefault="00070498" w:rsidP="00B82D0D">
      <w:pPr>
        <w:shd w:val="clear" w:color="auto" w:fill="FFFFFF"/>
        <w:spacing w:after="200" w:line="276" w:lineRule="auto"/>
        <w:ind w:left="284" w:right="14" w:hanging="284"/>
        <w:rPr>
          <w:b/>
          <w:sz w:val="22"/>
          <w:szCs w:val="22"/>
        </w:rPr>
      </w:pPr>
      <w:r w:rsidRPr="00FA0511">
        <w:rPr>
          <w:b/>
          <w:sz w:val="22"/>
          <w:szCs w:val="22"/>
        </w:rPr>
        <w:t>10.2.1 Εμπορικές υποχρεώσεις</w:t>
      </w:r>
    </w:p>
    <w:p w:rsidR="00070498" w:rsidRDefault="00070498" w:rsidP="00B82D0D">
      <w:pPr>
        <w:shd w:val="clear" w:color="auto" w:fill="FFFFFF"/>
        <w:spacing w:after="200" w:line="276" w:lineRule="auto"/>
        <w:ind w:left="284" w:right="14"/>
        <w:rPr>
          <w:sz w:val="22"/>
          <w:szCs w:val="22"/>
          <w:highlight w:val="yellow"/>
        </w:rPr>
      </w:pPr>
      <w:r w:rsidRPr="00FA0511">
        <w:rPr>
          <w:sz w:val="22"/>
          <w:szCs w:val="22"/>
        </w:rPr>
        <w:t>Οι εμπορικές υποχρεώσεις αναλύονται στον κατωτέρω πίνακα:</w:t>
      </w:r>
    </w:p>
    <w:tbl>
      <w:tblPr>
        <w:tblW w:w="5000" w:type="pct"/>
        <w:tblLook w:val="04A0" w:firstRow="1" w:lastRow="0" w:firstColumn="1" w:lastColumn="0" w:noHBand="0" w:noVBand="1"/>
      </w:tblPr>
      <w:tblGrid>
        <w:gridCol w:w="6222"/>
        <w:gridCol w:w="1701"/>
        <w:gridCol w:w="1799"/>
      </w:tblGrid>
      <w:tr w:rsidR="00A149AB" w:rsidTr="001C59B5">
        <w:trPr>
          <w:trHeight w:val="300"/>
        </w:trPr>
        <w:tc>
          <w:tcPr>
            <w:tcW w:w="320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lastRenderedPageBreak/>
              <w:t>Εμπορικές υποχρεώσεις</w:t>
            </w:r>
          </w:p>
        </w:tc>
        <w:tc>
          <w:tcPr>
            <w:tcW w:w="875" w:type="pct"/>
            <w:tcBorders>
              <w:top w:val="single" w:sz="12" w:space="0" w:color="auto"/>
              <w:left w:val="nil"/>
              <w:bottom w:val="single" w:sz="12" w:space="0" w:color="auto"/>
              <w:right w:val="single" w:sz="12" w:space="0" w:color="auto"/>
            </w:tcBorders>
            <w:shd w:val="clear" w:color="auto" w:fill="auto"/>
            <w:vAlign w:val="center"/>
            <w:hideMark/>
          </w:tcPr>
          <w:p w:rsidR="00A149AB" w:rsidRDefault="00A149AB">
            <w:pPr>
              <w:jc w:val="center"/>
              <w:rPr>
                <w:b/>
                <w:bCs/>
                <w:color w:val="000000"/>
                <w:sz w:val="22"/>
                <w:szCs w:val="22"/>
              </w:rPr>
            </w:pPr>
            <w:r>
              <w:rPr>
                <w:b/>
                <w:bCs/>
                <w:color w:val="000000"/>
                <w:sz w:val="22"/>
                <w:szCs w:val="22"/>
              </w:rPr>
              <w:t>31/12/21</w:t>
            </w:r>
          </w:p>
        </w:tc>
        <w:tc>
          <w:tcPr>
            <w:tcW w:w="925" w:type="pct"/>
            <w:tcBorders>
              <w:top w:val="single" w:sz="12" w:space="0" w:color="auto"/>
              <w:left w:val="nil"/>
              <w:bottom w:val="single" w:sz="12" w:space="0" w:color="auto"/>
              <w:right w:val="single" w:sz="12" w:space="0" w:color="auto"/>
            </w:tcBorders>
            <w:shd w:val="clear" w:color="auto" w:fill="auto"/>
            <w:vAlign w:val="center"/>
            <w:hideMark/>
          </w:tcPr>
          <w:p w:rsidR="00A149AB" w:rsidRDefault="00A149AB">
            <w:pPr>
              <w:jc w:val="center"/>
              <w:rPr>
                <w:b/>
                <w:bCs/>
                <w:color w:val="000000"/>
                <w:sz w:val="22"/>
                <w:szCs w:val="22"/>
              </w:rPr>
            </w:pPr>
            <w:r>
              <w:rPr>
                <w:b/>
                <w:bCs/>
                <w:color w:val="000000"/>
                <w:sz w:val="22"/>
                <w:szCs w:val="22"/>
              </w:rPr>
              <w:t>31/12/20</w:t>
            </w:r>
          </w:p>
        </w:tc>
      </w:tr>
      <w:tr w:rsidR="00A149AB" w:rsidTr="001C59B5">
        <w:trPr>
          <w:trHeight w:val="288"/>
        </w:trPr>
        <w:tc>
          <w:tcPr>
            <w:tcW w:w="3200" w:type="pct"/>
            <w:tcBorders>
              <w:top w:val="nil"/>
              <w:left w:val="single" w:sz="12" w:space="0" w:color="auto"/>
              <w:bottom w:val="nil"/>
              <w:right w:val="single" w:sz="12" w:space="0" w:color="auto"/>
            </w:tcBorders>
            <w:shd w:val="clear" w:color="auto" w:fill="auto"/>
            <w:vAlign w:val="center"/>
            <w:hideMark/>
          </w:tcPr>
          <w:p w:rsidR="00A149AB" w:rsidRDefault="00A149AB">
            <w:pPr>
              <w:rPr>
                <w:color w:val="000000"/>
                <w:sz w:val="22"/>
                <w:szCs w:val="22"/>
              </w:rPr>
            </w:pPr>
            <w:r>
              <w:rPr>
                <w:color w:val="000000"/>
                <w:sz w:val="22"/>
                <w:szCs w:val="22"/>
              </w:rPr>
              <w:t>Προμηθευτές</w:t>
            </w:r>
          </w:p>
        </w:tc>
        <w:tc>
          <w:tcPr>
            <w:tcW w:w="875" w:type="pct"/>
            <w:tcBorders>
              <w:top w:val="single" w:sz="12" w:space="0" w:color="auto"/>
              <w:left w:val="nil"/>
              <w:bottom w:val="single" w:sz="4" w:space="0" w:color="auto"/>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1.609,17</w:t>
            </w:r>
          </w:p>
        </w:tc>
        <w:tc>
          <w:tcPr>
            <w:tcW w:w="925" w:type="pct"/>
            <w:tcBorders>
              <w:top w:val="single" w:sz="12" w:space="0" w:color="auto"/>
              <w:left w:val="nil"/>
              <w:bottom w:val="single" w:sz="4" w:space="0" w:color="auto"/>
              <w:right w:val="single" w:sz="12" w:space="0" w:color="auto"/>
            </w:tcBorders>
            <w:shd w:val="clear" w:color="auto" w:fill="auto"/>
            <w:vAlign w:val="center"/>
            <w:hideMark/>
          </w:tcPr>
          <w:p w:rsidR="00A149AB" w:rsidRDefault="00A149AB">
            <w:pPr>
              <w:jc w:val="right"/>
              <w:rPr>
                <w:color w:val="000000"/>
                <w:sz w:val="22"/>
                <w:szCs w:val="22"/>
              </w:rPr>
            </w:pPr>
            <w:r>
              <w:rPr>
                <w:color w:val="000000"/>
                <w:sz w:val="22"/>
                <w:szCs w:val="22"/>
              </w:rPr>
              <w:t>882,98</w:t>
            </w:r>
          </w:p>
        </w:tc>
      </w:tr>
      <w:tr w:rsidR="00A149AB" w:rsidTr="001C59B5">
        <w:trPr>
          <w:trHeight w:val="288"/>
        </w:trPr>
        <w:tc>
          <w:tcPr>
            <w:tcW w:w="3200" w:type="pct"/>
            <w:tcBorders>
              <w:top w:val="nil"/>
              <w:left w:val="single" w:sz="12" w:space="0" w:color="auto"/>
              <w:bottom w:val="single" w:sz="12" w:space="0" w:color="auto"/>
              <w:right w:val="single" w:sz="12" w:space="0" w:color="auto"/>
            </w:tcBorders>
            <w:shd w:val="clear" w:color="auto" w:fill="auto"/>
            <w:vAlign w:val="center"/>
            <w:hideMark/>
          </w:tcPr>
          <w:p w:rsidR="00A149AB" w:rsidRDefault="00A149AB">
            <w:pPr>
              <w:rPr>
                <w:b/>
                <w:bCs/>
                <w:color w:val="000000"/>
                <w:sz w:val="22"/>
                <w:szCs w:val="22"/>
              </w:rPr>
            </w:pPr>
            <w:r>
              <w:rPr>
                <w:b/>
                <w:bCs/>
                <w:color w:val="000000"/>
                <w:sz w:val="22"/>
                <w:szCs w:val="22"/>
              </w:rPr>
              <w:t>Σύνολο</w:t>
            </w:r>
          </w:p>
        </w:tc>
        <w:tc>
          <w:tcPr>
            <w:tcW w:w="875" w:type="pct"/>
            <w:tcBorders>
              <w:top w:val="single" w:sz="4" w:space="0" w:color="auto"/>
              <w:left w:val="nil"/>
              <w:bottom w:val="double" w:sz="6" w:space="0" w:color="auto"/>
              <w:right w:val="single" w:sz="12" w:space="0" w:color="auto"/>
            </w:tcBorders>
            <w:shd w:val="clear" w:color="auto" w:fill="auto"/>
            <w:vAlign w:val="center"/>
            <w:hideMark/>
          </w:tcPr>
          <w:p w:rsidR="00A149AB" w:rsidRDefault="00A149AB">
            <w:pPr>
              <w:jc w:val="right"/>
              <w:rPr>
                <w:b/>
                <w:bCs/>
                <w:color w:val="000000"/>
                <w:sz w:val="22"/>
                <w:szCs w:val="22"/>
              </w:rPr>
            </w:pPr>
            <w:r>
              <w:rPr>
                <w:b/>
                <w:bCs/>
                <w:color w:val="000000"/>
                <w:sz w:val="22"/>
                <w:szCs w:val="22"/>
              </w:rPr>
              <w:t>1.609,17</w:t>
            </w:r>
          </w:p>
        </w:tc>
        <w:tc>
          <w:tcPr>
            <w:tcW w:w="925" w:type="pct"/>
            <w:tcBorders>
              <w:top w:val="single" w:sz="4" w:space="0" w:color="auto"/>
              <w:left w:val="nil"/>
              <w:bottom w:val="double" w:sz="6" w:space="0" w:color="auto"/>
              <w:right w:val="single" w:sz="12" w:space="0" w:color="auto"/>
            </w:tcBorders>
            <w:shd w:val="clear" w:color="auto" w:fill="auto"/>
            <w:vAlign w:val="center"/>
            <w:hideMark/>
          </w:tcPr>
          <w:p w:rsidR="00A149AB" w:rsidRDefault="00A149AB">
            <w:pPr>
              <w:jc w:val="right"/>
              <w:rPr>
                <w:b/>
                <w:bCs/>
                <w:color w:val="000000"/>
                <w:sz w:val="22"/>
                <w:szCs w:val="22"/>
              </w:rPr>
            </w:pPr>
            <w:r>
              <w:rPr>
                <w:b/>
                <w:bCs/>
                <w:color w:val="000000"/>
                <w:sz w:val="22"/>
                <w:szCs w:val="22"/>
              </w:rPr>
              <w:t>882,98</w:t>
            </w:r>
          </w:p>
        </w:tc>
      </w:tr>
    </w:tbl>
    <w:p w:rsidR="00B45F92" w:rsidRDefault="00B45F92" w:rsidP="00B82D0D">
      <w:pPr>
        <w:shd w:val="clear" w:color="auto" w:fill="FFFFFF"/>
        <w:spacing w:after="200" w:line="276" w:lineRule="auto"/>
        <w:ind w:left="284" w:right="14"/>
        <w:rPr>
          <w:sz w:val="22"/>
          <w:szCs w:val="22"/>
          <w:highlight w:val="yellow"/>
        </w:rPr>
      </w:pPr>
    </w:p>
    <w:p w:rsidR="00070498" w:rsidRPr="00A760D1" w:rsidRDefault="00070498" w:rsidP="00B82D0D">
      <w:pPr>
        <w:shd w:val="clear" w:color="auto" w:fill="FFFFFF"/>
        <w:spacing w:after="200" w:line="276" w:lineRule="auto"/>
        <w:ind w:left="284" w:right="14" w:hanging="284"/>
        <w:rPr>
          <w:b/>
          <w:sz w:val="22"/>
          <w:szCs w:val="22"/>
        </w:rPr>
      </w:pPr>
      <w:r w:rsidRPr="00A760D1">
        <w:rPr>
          <w:b/>
          <w:sz w:val="22"/>
          <w:szCs w:val="22"/>
        </w:rPr>
        <w:t>10.2.2 Λοιπές υποχρεώσεις</w:t>
      </w:r>
    </w:p>
    <w:p w:rsidR="00070498" w:rsidRPr="00A760D1" w:rsidRDefault="00070498" w:rsidP="00B82D0D">
      <w:pPr>
        <w:shd w:val="clear" w:color="auto" w:fill="FFFFFF"/>
        <w:spacing w:after="200" w:line="276" w:lineRule="auto"/>
        <w:ind w:left="284" w:right="14"/>
        <w:rPr>
          <w:sz w:val="22"/>
          <w:szCs w:val="22"/>
        </w:rPr>
      </w:pPr>
      <w:r w:rsidRPr="00A760D1">
        <w:rPr>
          <w:sz w:val="22"/>
          <w:szCs w:val="22"/>
        </w:rPr>
        <w:t xml:space="preserve">Οι </w:t>
      </w:r>
      <w:r w:rsidR="00BA3252" w:rsidRPr="00A760D1">
        <w:rPr>
          <w:sz w:val="22"/>
          <w:szCs w:val="22"/>
        </w:rPr>
        <w:t xml:space="preserve">λοιπές </w:t>
      </w:r>
      <w:r w:rsidRPr="00A760D1">
        <w:rPr>
          <w:sz w:val="22"/>
          <w:szCs w:val="22"/>
        </w:rPr>
        <w:t>υποχρεώσεις αναλύονται στον κατωτέρω πίνακα:</w:t>
      </w:r>
    </w:p>
    <w:tbl>
      <w:tblPr>
        <w:tblW w:w="5000" w:type="pct"/>
        <w:tblLook w:val="04A0" w:firstRow="1" w:lastRow="0" w:firstColumn="1" w:lastColumn="0" w:noHBand="0" w:noVBand="1"/>
      </w:tblPr>
      <w:tblGrid>
        <w:gridCol w:w="6222"/>
        <w:gridCol w:w="1701"/>
        <w:gridCol w:w="1799"/>
      </w:tblGrid>
      <w:tr w:rsidR="00A258EC" w:rsidTr="001C59B5">
        <w:trPr>
          <w:trHeight w:val="330"/>
        </w:trPr>
        <w:tc>
          <w:tcPr>
            <w:tcW w:w="3200"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258EC" w:rsidRDefault="00A258EC">
            <w:pPr>
              <w:rPr>
                <w:b/>
                <w:bCs/>
                <w:color w:val="000000"/>
                <w:sz w:val="22"/>
                <w:szCs w:val="22"/>
              </w:rPr>
            </w:pPr>
            <w:r>
              <w:rPr>
                <w:b/>
                <w:bCs/>
                <w:color w:val="000000"/>
                <w:sz w:val="22"/>
                <w:szCs w:val="22"/>
              </w:rPr>
              <w:t>Λοιπές υποχρεώσεις</w:t>
            </w:r>
          </w:p>
        </w:tc>
        <w:tc>
          <w:tcPr>
            <w:tcW w:w="875" w:type="pct"/>
            <w:tcBorders>
              <w:top w:val="single" w:sz="12" w:space="0" w:color="auto"/>
              <w:left w:val="nil"/>
              <w:bottom w:val="single" w:sz="12" w:space="0" w:color="auto"/>
              <w:right w:val="single" w:sz="12" w:space="0" w:color="auto"/>
            </w:tcBorders>
            <w:shd w:val="clear" w:color="auto" w:fill="auto"/>
            <w:vAlign w:val="center"/>
            <w:hideMark/>
          </w:tcPr>
          <w:p w:rsidR="00A258EC" w:rsidRDefault="00112117">
            <w:pPr>
              <w:jc w:val="center"/>
              <w:rPr>
                <w:b/>
                <w:bCs/>
                <w:color w:val="000000"/>
                <w:sz w:val="22"/>
                <w:szCs w:val="22"/>
              </w:rPr>
            </w:pPr>
            <w:r>
              <w:rPr>
                <w:b/>
                <w:bCs/>
                <w:color w:val="000000"/>
                <w:sz w:val="22"/>
                <w:szCs w:val="22"/>
              </w:rPr>
              <w:t>31/12/2</w:t>
            </w:r>
            <w:r w:rsidR="00A149AB">
              <w:rPr>
                <w:b/>
                <w:bCs/>
                <w:color w:val="000000"/>
                <w:sz w:val="22"/>
                <w:szCs w:val="22"/>
              </w:rPr>
              <w:t>1</w:t>
            </w:r>
          </w:p>
        </w:tc>
        <w:tc>
          <w:tcPr>
            <w:tcW w:w="925" w:type="pct"/>
            <w:tcBorders>
              <w:top w:val="single" w:sz="12" w:space="0" w:color="auto"/>
              <w:left w:val="nil"/>
              <w:bottom w:val="single" w:sz="12" w:space="0" w:color="auto"/>
              <w:right w:val="single" w:sz="12" w:space="0" w:color="auto"/>
            </w:tcBorders>
            <w:shd w:val="clear" w:color="auto" w:fill="auto"/>
            <w:vAlign w:val="center"/>
            <w:hideMark/>
          </w:tcPr>
          <w:p w:rsidR="00A258EC" w:rsidRDefault="00A258EC">
            <w:pPr>
              <w:jc w:val="center"/>
              <w:rPr>
                <w:b/>
                <w:bCs/>
                <w:color w:val="000000"/>
                <w:sz w:val="22"/>
                <w:szCs w:val="22"/>
              </w:rPr>
            </w:pPr>
            <w:r>
              <w:rPr>
                <w:b/>
                <w:bCs/>
                <w:color w:val="000000"/>
                <w:sz w:val="22"/>
                <w:szCs w:val="22"/>
              </w:rPr>
              <w:t>31/12/</w:t>
            </w:r>
            <w:r w:rsidR="00A149AB">
              <w:rPr>
                <w:b/>
                <w:bCs/>
                <w:color w:val="000000"/>
                <w:sz w:val="22"/>
                <w:szCs w:val="22"/>
              </w:rPr>
              <w:t>20</w:t>
            </w:r>
          </w:p>
        </w:tc>
      </w:tr>
      <w:tr w:rsidR="00A258EC" w:rsidTr="001C59B5">
        <w:trPr>
          <w:trHeight w:val="330"/>
        </w:trPr>
        <w:tc>
          <w:tcPr>
            <w:tcW w:w="3200" w:type="pct"/>
            <w:tcBorders>
              <w:top w:val="nil"/>
              <w:left w:val="single" w:sz="12" w:space="0" w:color="auto"/>
              <w:bottom w:val="nil"/>
              <w:right w:val="single" w:sz="12" w:space="0" w:color="auto"/>
            </w:tcBorders>
            <w:shd w:val="clear" w:color="auto" w:fill="auto"/>
            <w:vAlign w:val="center"/>
            <w:hideMark/>
          </w:tcPr>
          <w:p w:rsidR="00A258EC" w:rsidRDefault="00A258EC">
            <w:pPr>
              <w:rPr>
                <w:color w:val="000000"/>
                <w:sz w:val="22"/>
                <w:szCs w:val="22"/>
              </w:rPr>
            </w:pPr>
            <w:r>
              <w:rPr>
                <w:color w:val="000000"/>
                <w:sz w:val="22"/>
                <w:szCs w:val="22"/>
              </w:rPr>
              <w:t>Υποχρεώσεις προς συνδεδεμένα μέρη</w:t>
            </w:r>
          </w:p>
        </w:tc>
        <w:tc>
          <w:tcPr>
            <w:tcW w:w="875" w:type="pct"/>
            <w:tcBorders>
              <w:top w:val="nil"/>
              <w:left w:val="nil"/>
              <w:bottom w:val="nil"/>
              <w:right w:val="single" w:sz="12" w:space="0" w:color="auto"/>
            </w:tcBorders>
            <w:shd w:val="clear" w:color="auto" w:fill="auto"/>
            <w:vAlign w:val="center"/>
            <w:hideMark/>
          </w:tcPr>
          <w:p w:rsidR="00A258EC" w:rsidRDefault="00A258EC">
            <w:pPr>
              <w:jc w:val="right"/>
              <w:rPr>
                <w:color w:val="000000"/>
                <w:sz w:val="22"/>
                <w:szCs w:val="22"/>
              </w:rPr>
            </w:pPr>
            <w:r>
              <w:rPr>
                <w:color w:val="000000"/>
                <w:sz w:val="22"/>
                <w:szCs w:val="22"/>
              </w:rPr>
              <w:t>602.675,00</w:t>
            </w:r>
          </w:p>
        </w:tc>
        <w:tc>
          <w:tcPr>
            <w:tcW w:w="925" w:type="pct"/>
            <w:tcBorders>
              <w:top w:val="nil"/>
              <w:left w:val="nil"/>
              <w:bottom w:val="nil"/>
              <w:right w:val="single" w:sz="12" w:space="0" w:color="auto"/>
            </w:tcBorders>
            <w:shd w:val="clear" w:color="auto" w:fill="auto"/>
            <w:vAlign w:val="center"/>
            <w:hideMark/>
          </w:tcPr>
          <w:p w:rsidR="00A258EC" w:rsidRDefault="00A258EC">
            <w:pPr>
              <w:jc w:val="right"/>
              <w:rPr>
                <w:color w:val="000000"/>
                <w:sz w:val="22"/>
                <w:szCs w:val="22"/>
              </w:rPr>
            </w:pPr>
            <w:r>
              <w:rPr>
                <w:color w:val="000000"/>
                <w:sz w:val="22"/>
                <w:szCs w:val="22"/>
              </w:rPr>
              <w:t>602.675,00</w:t>
            </w:r>
          </w:p>
        </w:tc>
      </w:tr>
      <w:tr w:rsidR="00A258EC" w:rsidTr="001C59B5">
        <w:trPr>
          <w:trHeight w:val="330"/>
        </w:trPr>
        <w:tc>
          <w:tcPr>
            <w:tcW w:w="3200" w:type="pct"/>
            <w:tcBorders>
              <w:top w:val="nil"/>
              <w:left w:val="single" w:sz="12" w:space="0" w:color="auto"/>
              <w:bottom w:val="single" w:sz="12" w:space="0" w:color="auto"/>
              <w:right w:val="single" w:sz="12" w:space="0" w:color="auto"/>
            </w:tcBorders>
            <w:shd w:val="clear" w:color="auto" w:fill="auto"/>
            <w:vAlign w:val="center"/>
            <w:hideMark/>
          </w:tcPr>
          <w:p w:rsidR="00A258EC" w:rsidRDefault="00A258EC">
            <w:pPr>
              <w:rPr>
                <w:b/>
                <w:bCs/>
                <w:color w:val="000000"/>
                <w:sz w:val="22"/>
                <w:szCs w:val="22"/>
              </w:rPr>
            </w:pPr>
            <w:r>
              <w:rPr>
                <w:b/>
                <w:bCs/>
                <w:color w:val="000000"/>
                <w:sz w:val="22"/>
                <w:szCs w:val="22"/>
              </w:rPr>
              <w:t>Σύνολο</w:t>
            </w:r>
          </w:p>
        </w:tc>
        <w:tc>
          <w:tcPr>
            <w:tcW w:w="875" w:type="pct"/>
            <w:tcBorders>
              <w:top w:val="single" w:sz="4" w:space="0" w:color="auto"/>
              <w:left w:val="nil"/>
              <w:bottom w:val="double" w:sz="6" w:space="0" w:color="auto"/>
              <w:right w:val="single" w:sz="12" w:space="0" w:color="auto"/>
            </w:tcBorders>
            <w:shd w:val="clear" w:color="auto" w:fill="auto"/>
            <w:vAlign w:val="center"/>
            <w:hideMark/>
          </w:tcPr>
          <w:p w:rsidR="00A258EC" w:rsidRDefault="00112117">
            <w:pPr>
              <w:jc w:val="right"/>
              <w:rPr>
                <w:b/>
                <w:bCs/>
                <w:color w:val="000000"/>
                <w:sz w:val="22"/>
                <w:szCs w:val="22"/>
              </w:rPr>
            </w:pPr>
            <w:r>
              <w:rPr>
                <w:b/>
                <w:bCs/>
                <w:color w:val="000000"/>
                <w:sz w:val="22"/>
                <w:szCs w:val="22"/>
              </w:rPr>
              <w:t>602.675,00</w:t>
            </w:r>
          </w:p>
        </w:tc>
        <w:tc>
          <w:tcPr>
            <w:tcW w:w="925" w:type="pct"/>
            <w:tcBorders>
              <w:top w:val="single" w:sz="4" w:space="0" w:color="auto"/>
              <w:left w:val="nil"/>
              <w:bottom w:val="double" w:sz="6" w:space="0" w:color="auto"/>
              <w:right w:val="single" w:sz="12" w:space="0" w:color="auto"/>
            </w:tcBorders>
            <w:shd w:val="clear" w:color="auto" w:fill="auto"/>
            <w:vAlign w:val="center"/>
            <w:hideMark/>
          </w:tcPr>
          <w:p w:rsidR="00A258EC" w:rsidRPr="00A149AB" w:rsidRDefault="00A149AB">
            <w:pPr>
              <w:jc w:val="right"/>
              <w:rPr>
                <w:b/>
                <w:bCs/>
                <w:color w:val="000000"/>
                <w:sz w:val="22"/>
                <w:szCs w:val="22"/>
                <w:lang w:val="en-US"/>
              </w:rPr>
            </w:pPr>
            <w:r>
              <w:rPr>
                <w:b/>
                <w:bCs/>
                <w:color w:val="000000"/>
                <w:sz w:val="22"/>
                <w:szCs w:val="22"/>
                <w:lang w:val="en-US"/>
              </w:rPr>
              <w:t>602.675,00</w:t>
            </w:r>
          </w:p>
        </w:tc>
      </w:tr>
    </w:tbl>
    <w:p w:rsidR="00070498" w:rsidRPr="00A131AE" w:rsidRDefault="00070498" w:rsidP="00523C3C">
      <w:pPr>
        <w:pStyle w:val="a8"/>
        <w:rPr>
          <w:highlight w:val="yellow"/>
        </w:rPr>
      </w:pPr>
    </w:p>
    <w:p w:rsidR="00763613" w:rsidRPr="00A760D1" w:rsidRDefault="00FC44B4" w:rsidP="00A760D1">
      <w:pPr>
        <w:pStyle w:val="1"/>
        <w:jc w:val="left"/>
      </w:pPr>
      <w:bookmarkStart w:id="39" w:name="_Toc488058543"/>
      <w:bookmarkStart w:id="40" w:name="_Toc15546004"/>
      <w:r w:rsidRPr="00A760D1">
        <w:t>1</w:t>
      </w:r>
      <w:r w:rsidR="001F2B44" w:rsidRPr="00A760D1">
        <w:t>1</w:t>
      </w:r>
      <w:r w:rsidR="00FF2F42" w:rsidRPr="00A760D1">
        <w:t xml:space="preserve">. </w:t>
      </w:r>
      <w:r w:rsidR="00763613" w:rsidRPr="00A760D1">
        <w:t>Έσοδα και έξοδα σημαντικού ποσού ή ιδιαίτερης συχνότητας ή σημασίας</w:t>
      </w:r>
      <w:bookmarkEnd w:id="39"/>
      <w:bookmarkEnd w:id="40"/>
    </w:p>
    <w:p w:rsidR="00523C3C" w:rsidRPr="00A760D1" w:rsidRDefault="00523C3C" w:rsidP="00A760D1">
      <w:pPr>
        <w:rPr>
          <w:sz w:val="16"/>
          <w:szCs w:val="16"/>
          <w:lang w:eastAsia="en-US"/>
        </w:rPr>
      </w:pPr>
    </w:p>
    <w:p w:rsidR="008B76FD" w:rsidRPr="00A760D1" w:rsidRDefault="008B76FD" w:rsidP="00A760D1">
      <w:pPr>
        <w:spacing w:after="200" w:line="276" w:lineRule="auto"/>
        <w:ind w:left="5" w:right="14" w:firstLine="562"/>
        <w:jc w:val="both"/>
        <w:rPr>
          <w:sz w:val="22"/>
          <w:szCs w:val="22"/>
        </w:rPr>
      </w:pPr>
      <w:r w:rsidRPr="00A760D1">
        <w:rPr>
          <w:sz w:val="22"/>
          <w:szCs w:val="22"/>
        </w:rPr>
        <w:t xml:space="preserve">Ακολουθεί ανάλυση </w:t>
      </w:r>
      <w:r w:rsidR="003E7FD4" w:rsidRPr="00A760D1">
        <w:rPr>
          <w:sz w:val="22"/>
          <w:szCs w:val="22"/>
        </w:rPr>
        <w:t xml:space="preserve">αυτών </w:t>
      </w:r>
      <w:r w:rsidRPr="00A760D1">
        <w:rPr>
          <w:sz w:val="22"/>
          <w:szCs w:val="22"/>
        </w:rPr>
        <w:t xml:space="preserve">των </w:t>
      </w:r>
      <w:r w:rsidR="00213939" w:rsidRPr="00A760D1">
        <w:rPr>
          <w:sz w:val="22"/>
          <w:szCs w:val="22"/>
        </w:rPr>
        <w:t xml:space="preserve">εσόδων και </w:t>
      </w:r>
      <w:r w:rsidRPr="00A760D1">
        <w:rPr>
          <w:sz w:val="22"/>
          <w:szCs w:val="22"/>
        </w:rPr>
        <w:t>εξόδων στους παρακάτω πίνακες:</w:t>
      </w:r>
    </w:p>
    <w:tbl>
      <w:tblPr>
        <w:tblW w:w="5000" w:type="pct"/>
        <w:tblLook w:val="04A0" w:firstRow="1" w:lastRow="0" w:firstColumn="1" w:lastColumn="0" w:noHBand="0" w:noVBand="1"/>
      </w:tblPr>
      <w:tblGrid>
        <w:gridCol w:w="6258"/>
        <w:gridCol w:w="1732"/>
        <w:gridCol w:w="1732"/>
      </w:tblGrid>
      <w:tr w:rsidR="00A760D1" w:rsidTr="00A760D1">
        <w:trPr>
          <w:trHeight w:val="315"/>
        </w:trPr>
        <w:tc>
          <w:tcPr>
            <w:tcW w:w="321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760D1" w:rsidRDefault="00A760D1">
            <w:pPr>
              <w:rPr>
                <w:b/>
                <w:bCs/>
                <w:color w:val="000000"/>
                <w:sz w:val="22"/>
                <w:szCs w:val="22"/>
              </w:rPr>
            </w:pPr>
            <w:r>
              <w:rPr>
                <w:b/>
                <w:bCs/>
                <w:color w:val="000000"/>
                <w:sz w:val="22"/>
                <w:szCs w:val="22"/>
              </w:rPr>
              <w:t>Έσοδα</w:t>
            </w:r>
          </w:p>
        </w:tc>
        <w:tc>
          <w:tcPr>
            <w:tcW w:w="891" w:type="pct"/>
            <w:tcBorders>
              <w:top w:val="single" w:sz="12" w:space="0" w:color="auto"/>
              <w:left w:val="nil"/>
              <w:bottom w:val="single" w:sz="12" w:space="0" w:color="auto"/>
              <w:right w:val="single" w:sz="12" w:space="0" w:color="auto"/>
            </w:tcBorders>
            <w:shd w:val="clear" w:color="auto" w:fill="auto"/>
            <w:vAlign w:val="center"/>
            <w:hideMark/>
          </w:tcPr>
          <w:p w:rsidR="00A760D1" w:rsidRDefault="00112117">
            <w:pPr>
              <w:jc w:val="center"/>
              <w:rPr>
                <w:b/>
                <w:bCs/>
                <w:color w:val="000000"/>
                <w:sz w:val="22"/>
                <w:szCs w:val="22"/>
              </w:rPr>
            </w:pPr>
            <w:r>
              <w:rPr>
                <w:b/>
                <w:bCs/>
                <w:color w:val="000000"/>
                <w:sz w:val="22"/>
                <w:szCs w:val="22"/>
              </w:rPr>
              <w:t>31/12/202</w:t>
            </w:r>
            <w:r w:rsidR="001C59B5">
              <w:rPr>
                <w:b/>
                <w:bCs/>
                <w:color w:val="000000"/>
                <w:sz w:val="22"/>
                <w:szCs w:val="22"/>
              </w:rPr>
              <w:t>1</w:t>
            </w:r>
          </w:p>
        </w:tc>
        <w:tc>
          <w:tcPr>
            <w:tcW w:w="891" w:type="pct"/>
            <w:tcBorders>
              <w:top w:val="single" w:sz="12" w:space="0" w:color="auto"/>
              <w:left w:val="nil"/>
              <w:bottom w:val="single" w:sz="12" w:space="0" w:color="auto"/>
              <w:right w:val="single" w:sz="12" w:space="0" w:color="auto"/>
            </w:tcBorders>
            <w:shd w:val="clear" w:color="auto" w:fill="auto"/>
            <w:vAlign w:val="center"/>
            <w:hideMark/>
          </w:tcPr>
          <w:p w:rsidR="00A760D1" w:rsidRDefault="001C59B5">
            <w:pPr>
              <w:jc w:val="center"/>
              <w:rPr>
                <w:b/>
                <w:bCs/>
                <w:color w:val="000000"/>
                <w:sz w:val="22"/>
                <w:szCs w:val="22"/>
              </w:rPr>
            </w:pPr>
            <w:r>
              <w:rPr>
                <w:b/>
                <w:bCs/>
                <w:color w:val="000000"/>
                <w:sz w:val="22"/>
                <w:szCs w:val="22"/>
              </w:rPr>
              <w:t>31/12/2020</w:t>
            </w:r>
          </w:p>
        </w:tc>
      </w:tr>
      <w:tr w:rsidR="00A760D1" w:rsidTr="00A760D1">
        <w:trPr>
          <w:trHeight w:val="315"/>
        </w:trPr>
        <w:tc>
          <w:tcPr>
            <w:tcW w:w="3218" w:type="pct"/>
            <w:tcBorders>
              <w:top w:val="nil"/>
              <w:left w:val="single" w:sz="12" w:space="0" w:color="auto"/>
              <w:bottom w:val="nil"/>
              <w:right w:val="single" w:sz="12" w:space="0" w:color="auto"/>
            </w:tcBorders>
            <w:shd w:val="clear" w:color="auto" w:fill="auto"/>
            <w:vAlign w:val="center"/>
            <w:hideMark/>
          </w:tcPr>
          <w:p w:rsidR="00A760D1" w:rsidRDefault="00A760D1">
            <w:pPr>
              <w:rPr>
                <w:color w:val="000000"/>
                <w:sz w:val="22"/>
                <w:szCs w:val="22"/>
              </w:rPr>
            </w:pPr>
            <w:r>
              <w:rPr>
                <w:color w:val="000000"/>
                <w:sz w:val="22"/>
                <w:szCs w:val="22"/>
              </w:rPr>
              <w:t>Λοιπά έκτακτα και ανόργανα έσοδα</w:t>
            </w:r>
          </w:p>
        </w:tc>
        <w:tc>
          <w:tcPr>
            <w:tcW w:w="891" w:type="pct"/>
            <w:tcBorders>
              <w:top w:val="nil"/>
              <w:left w:val="nil"/>
              <w:bottom w:val="single" w:sz="2" w:space="0" w:color="auto"/>
              <w:right w:val="single" w:sz="12" w:space="0" w:color="auto"/>
            </w:tcBorders>
            <w:shd w:val="clear" w:color="auto" w:fill="auto"/>
            <w:vAlign w:val="center"/>
            <w:hideMark/>
          </w:tcPr>
          <w:p w:rsidR="00A760D1" w:rsidRDefault="001C59B5">
            <w:pPr>
              <w:jc w:val="right"/>
              <w:rPr>
                <w:color w:val="000000"/>
                <w:sz w:val="22"/>
                <w:szCs w:val="22"/>
              </w:rPr>
            </w:pPr>
            <w:r>
              <w:rPr>
                <w:color w:val="000000"/>
                <w:sz w:val="22"/>
                <w:szCs w:val="22"/>
                <w:lang w:val="en-US"/>
              </w:rPr>
              <w:t>8</w:t>
            </w:r>
            <w:r w:rsidR="00112117">
              <w:rPr>
                <w:color w:val="000000"/>
                <w:sz w:val="22"/>
                <w:szCs w:val="22"/>
              </w:rPr>
              <w:t>0</w:t>
            </w:r>
            <w:r>
              <w:rPr>
                <w:color w:val="000000"/>
                <w:sz w:val="22"/>
                <w:szCs w:val="22"/>
                <w:lang w:val="en-US"/>
              </w:rPr>
              <w:t>4</w:t>
            </w:r>
            <w:r>
              <w:rPr>
                <w:color w:val="000000"/>
                <w:sz w:val="22"/>
                <w:szCs w:val="22"/>
              </w:rPr>
              <w:t>,8</w:t>
            </w:r>
            <w:r w:rsidR="00112117">
              <w:rPr>
                <w:color w:val="000000"/>
                <w:sz w:val="22"/>
                <w:szCs w:val="22"/>
              </w:rPr>
              <w:t>0</w:t>
            </w:r>
          </w:p>
        </w:tc>
        <w:tc>
          <w:tcPr>
            <w:tcW w:w="891" w:type="pct"/>
            <w:tcBorders>
              <w:top w:val="nil"/>
              <w:left w:val="nil"/>
              <w:bottom w:val="single" w:sz="2" w:space="0" w:color="auto"/>
              <w:right w:val="single" w:sz="12" w:space="0" w:color="auto"/>
            </w:tcBorders>
            <w:shd w:val="clear" w:color="auto" w:fill="auto"/>
            <w:vAlign w:val="center"/>
            <w:hideMark/>
          </w:tcPr>
          <w:p w:rsidR="00A760D1" w:rsidRPr="00A258EC" w:rsidRDefault="001C59B5">
            <w:pPr>
              <w:jc w:val="right"/>
              <w:rPr>
                <w:color w:val="000000"/>
                <w:sz w:val="22"/>
                <w:szCs w:val="22"/>
                <w:lang w:val="en-US"/>
              </w:rPr>
            </w:pPr>
            <w:r>
              <w:rPr>
                <w:color w:val="000000"/>
                <w:sz w:val="22"/>
                <w:szCs w:val="22"/>
                <w:lang w:val="en-US"/>
              </w:rPr>
              <w:t>0,00</w:t>
            </w:r>
          </w:p>
        </w:tc>
      </w:tr>
      <w:tr w:rsidR="00A760D1" w:rsidTr="00A760D1">
        <w:trPr>
          <w:trHeight w:val="300"/>
        </w:trPr>
        <w:tc>
          <w:tcPr>
            <w:tcW w:w="3218" w:type="pct"/>
            <w:tcBorders>
              <w:top w:val="nil"/>
              <w:left w:val="single" w:sz="12" w:space="0" w:color="auto"/>
              <w:bottom w:val="single" w:sz="12" w:space="0" w:color="auto"/>
              <w:right w:val="single" w:sz="12" w:space="0" w:color="auto"/>
            </w:tcBorders>
            <w:shd w:val="clear" w:color="auto" w:fill="auto"/>
            <w:vAlign w:val="center"/>
            <w:hideMark/>
          </w:tcPr>
          <w:p w:rsidR="00A760D1" w:rsidRDefault="00A760D1">
            <w:pPr>
              <w:rPr>
                <w:b/>
                <w:bCs/>
                <w:color w:val="000000"/>
                <w:sz w:val="22"/>
                <w:szCs w:val="22"/>
              </w:rPr>
            </w:pPr>
            <w:r>
              <w:rPr>
                <w:b/>
                <w:bCs/>
                <w:color w:val="000000"/>
                <w:sz w:val="22"/>
                <w:szCs w:val="22"/>
              </w:rPr>
              <w:t>Σύνολο</w:t>
            </w:r>
          </w:p>
        </w:tc>
        <w:tc>
          <w:tcPr>
            <w:tcW w:w="891" w:type="pct"/>
            <w:tcBorders>
              <w:top w:val="single" w:sz="2" w:space="0" w:color="auto"/>
              <w:left w:val="nil"/>
              <w:bottom w:val="double" w:sz="6" w:space="0" w:color="auto"/>
              <w:right w:val="single" w:sz="12" w:space="0" w:color="auto"/>
            </w:tcBorders>
            <w:shd w:val="clear" w:color="auto" w:fill="auto"/>
            <w:vAlign w:val="center"/>
            <w:hideMark/>
          </w:tcPr>
          <w:p w:rsidR="00A760D1" w:rsidRPr="001C59B5" w:rsidRDefault="001C59B5">
            <w:pPr>
              <w:jc w:val="right"/>
              <w:rPr>
                <w:b/>
                <w:bCs/>
                <w:color w:val="000000"/>
                <w:sz w:val="22"/>
                <w:szCs w:val="22"/>
              </w:rPr>
            </w:pPr>
            <w:r w:rsidRPr="001C59B5">
              <w:rPr>
                <w:b/>
                <w:color w:val="000000"/>
                <w:sz w:val="22"/>
                <w:szCs w:val="22"/>
                <w:lang w:val="en-US"/>
              </w:rPr>
              <w:t>8</w:t>
            </w:r>
            <w:r w:rsidRPr="001C59B5">
              <w:rPr>
                <w:b/>
                <w:color w:val="000000"/>
                <w:sz w:val="22"/>
                <w:szCs w:val="22"/>
              </w:rPr>
              <w:t>0</w:t>
            </w:r>
            <w:r w:rsidRPr="001C59B5">
              <w:rPr>
                <w:b/>
                <w:color w:val="000000"/>
                <w:sz w:val="22"/>
                <w:szCs w:val="22"/>
                <w:lang w:val="en-US"/>
              </w:rPr>
              <w:t>4</w:t>
            </w:r>
            <w:r w:rsidRPr="001C59B5">
              <w:rPr>
                <w:b/>
                <w:color w:val="000000"/>
                <w:sz w:val="22"/>
                <w:szCs w:val="22"/>
              </w:rPr>
              <w:t>,80</w:t>
            </w:r>
          </w:p>
        </w:tc>
        <w:tc>
          <w:tcPr>
            <w:tcW w:w="891" w:type="pct"/>
            <w:tcBorders>
              <w:top w:val="single" w:sz="2" w:space="0" w:color="auto"/>
              <w:left w:val="nil"/>
              <w:bottom w:val="double" w:sz="6" w:space="0" w:color="auto"/>
              <w:right w:val="single" w:sz="12" w:space="0" w:color="auto"/>
            </w:tcBorders>
            <w:shd w:val="clear" w:color="auto" w:fill="auto"/>
            <w:vAlign w:val="center"/>
            <w:hideMark/>
          </w:tcPr>
          <w:p w:rsidR="00A760D1" w:rsidRPr="00A258EC" w:rsidRDefault="001C59B5">
            <w:pPr>
              <w:jc w:val="right"/>
              <w:rPr>
                <w:b/>
                <w:bCs/>
                <w:color w:val="000000"/>
                <w:sz w:val="22"/>
                <w:szCs w:val="22"/>
                <w:lang w:val="en-US"/>
              </w:rPr>
            </w:pPr>
            <w:r>
              <w:rPr>
                <w:b/>
                <w:bCs/>
                <w:color w:val="000000"/>
                <w:sz w:val="22"/>
                <w:szCs w:val="22"/>
                <w:lang w:val="en-US"/>
              </w:rPr>
              <w:t>0,00</w:t>
            </w:r>
          </w:p>
        </w:tc>
      </w:tr>
    </w:tbl>
    <w:p w:rsidR="00A760D1" w:rsidRPr="00A131AE" w:rsidRDefault="00A760D1" w:rsidP="00B82D0D">
      <w:pPr>
        <w:shd w:val="clear" w:color="auto" w:fill="FFFFFF"/>
        <w:spacing w:after="200" w:line="276" w:lineRule="auto"/>
        <w:ind w:left="5" w:right="14" w:firstLine="562"/>
        <w:jc w:val="both"/>
        <w:rPr>
          <w:sz w:val="22"/>
          <w:szCs w:val="22"/>
          <w:highlight w:val="yellow"/>
        </w:rPr>
      </w:pPr>
    </w:p>
    <w:tbl>
      <w:tblPr>
        <w:tblW w:w="5000" w:type="pct"/>
        <w:tblLook w:val="04A0" w:firstRow="1" w:lastRow="0" w:firstColumn="1" w:lastColumn="0" w:noHBand="0" w:noVBand="1"/>
      </w:tblPr>
      <w:tblGrid>
        <w:gridCol w:w="6258"/>
        <w:gridCol w:w="1732"/>
        <w:gridCol w:w="1732"/>
      </w:tblGrid>
      <w:tr w:rsidR="00A760D1" w:rsidTr="00A760D1">
        <w:trPr>
          <w:trHeight w:val="315"/>
        </w:trPr>
        <w:tc>
          <w:tcPr>
            <w:tcW w:w="3218" w:type="pct"/>
            <w:tcBorders>
              <w:top w:val="single" w:sz="12" w:space="0" w:color="auto"/>
              <w:left w:val="single" w:sz="12" w:space="0" w:color="auto"/>
              <w:bottom w:val="single" w:sz="12" w:space="0" w:color="auto"/>
              <w:right w:val="single" w:sz="12" w:space="0" w:color="auto"/>
            </w:tcBorders>
            <w:shd w:val="clear" w:color="auto" w:fill="auto"/>
            <w:vAlign w:val="center"/>
            <w:hideMark/>
          </w:tcPr>
          <w:p w:rsidR="00A760D1" w:rsidRDefault="00A760D1">
            <w:pPr>
              <w:rPr>
                <w:b/>
                <w:bCs/>
                <w:color w:val="000000"/>
                <w:sz w:val="22"/>
                <w:szCs w:val="22"/>
              </w:rPr>
            </w:pPr>
            <w:r>
              <w:rPr>
                <w:b/>
                <w:bCs/>
                <w:color w:val="000000"/>
                <w:sz w:val="22"/>
                <w:szCs w:val="22"/>
              </w:rPr>
              <w:t>Έξοδα</w:t>
            </w:r>
          </w:p>
        </w:tc>
        <w:tc>
          <w:tcPr>
            <w:tcW w:w="891" w:type="pct"/>
            <w:tcBorders>
              <w:top w:val="single" w:sz="12" w:space="0" w:color="auto"/>
              <w:left w:val="nil"/>
              <w:bottom w:val="single" w:sz="12" w:space="0" w:color="auto"/>
              <w:right w:val="single" w:sz="12" w:space="0" w:color="auto"/>
            </w:tcBorders>
            <w:shd w:val="clear" w:color="auto" w:fill="auto"/>
            <w:vAlign w:val="center"/>
            <w:hideMark/>
          </w:tcPr>
          <w:p w:rsidR="00A760D1" w:rsidRDefault="001C59B5">
            <w:pPr>
              <w:jc w:val="center"/>
              <w:rPr>
                <w:b/>
                <w:bCs/>
                <w:color w:val="000000"/>
                <w:sz w:val="22"/>
                <w:szCs w:val="22"/>
              </w:rPr>
            </w:pPr>
            <w:r>
              <w:rPr>
                <w:b/>
                <w:bCs/>
                <w:color w:val="000000"/>
                <w:sz w:val="22"/>
                <w:szCs w:val="22"/>
              </w:rPr>
              <w:t>31/12/2021</w:t>
            </w:r>
          </w:p>
        </w:tc>
        <w:tc>
          <w:tcPr>
            <w:tcW w:w="891" w:type="pct"/>
            <w:tcBorders>
              <w:top w:val="single" w:sz="12" w:space="0" w:color="auto"/>
              <w:left w:val="nil"/>
              <w:bottom w:val="single" w:sz="12" w:space="0" w:color="auto"/>
              <w:right w:val="single" w:sz="12" w:space="0" w:color="auto"/>
            </w:tcBorders>
            <w:shd w:val="clear" w:color="auto" w:fill="auto"/>
            <w:vAlign w:val="center"/>
            <w:hideMark/>
          </w:tcPr>
          <w:p w:rsidR="00A760D1" w:rsidRDefault="001C59B5">
            <w:pPr>
              <w:jc w:val="center"/>
              <w:rPr>
                <w:b/>
                <w:bCs/>
                <w:color w:val="000000"/>
                <w:sz w:val="22"/>
                <w:szCs w:val="22"/>
              </w:rPr>
            </w:pPr>
            <w:r>
              <w:rPr>
                <w:b/>
                <w:bCs/>
                <w:color w:val="000000"/>
                <w:sz w:val="22"/>
                <w:szCs w:val="22"/>
              </w:rPr>
              <w:t>31/12/2020</w:t>
            </w:r>
          </w:p>
        </w:tc>
      </w:tr>
      <w:tr w:rsidR="00A258EC" w:rsidTr="00A760D1">
        <w:trPr>
          <w:trHeight w:val="300"/>
        </w:trPr>
        <w:tc>
          <w:tcPr>
            <w:tcW w:w="3218" w:type="pct"/>
            <w:tcBorders>
              <w:top w:val="nil"/>
              <w:left w:val="single" w:sz="12" w:space="0" w:color="auto"/>
              <w:bottom w:val="nil"/>
              <w:right w:val="single" w:sz="12" w:space="0" w:color="auto"/>
            </w:tcBorders>
            <w:shd w:val="clear" w:color="auto" w:fill="auto"/>
            <w:vAlign w:val="center"/>
            <w:hideMark/>
          </w:tcPr>
          <w:p w:rsidR="00A258EC" w:rsidRDefault="001C59B5" w:rsidP="00A258EC">
            <w:pPr>
              <w:rPr>
                <w:color w:val="000000"/>
                <w:sz w:val="22"/>
                <w:szCs w:val="22"/>
              </w:rPr>
            </w:pPr>
            <w:r w:rsidRPr="001C59B5">
              <w:rPr>
                <w:color w:val="000000"/>
                <w:sz w:val="22"/>
                <w:szCs w:val="22"/>
              </w:rPr>
              <w:t>Φορολογικά πρόστιμα και προσαυξήσεις</w:t>
            </w:r>
          </w:p>
        </w:tc>
        <w:tc>
          <w:tcPr>
            <w:tcW w:w="891" w:type="pct"/>
            <w:tcBorders>
              <w:top w:val="nil"/>
              <w:left w:val="nil"/>
              <w:bottom w:val="nil"/>
              <w:right w:val="single" w:sz="12" w:space="0" w:color="auto"/>
            </w:tcBorders>
            <w:shd w:val="clear" w:color="auto" w:fill="auto"/>
            <w:vAlign w:val="center"/>
            <w:hideMark/>
          </w:tcPr>
          <w:p w:rsidR="00A258EC" w:rsidRPr="00A258EC" w:rsidRDefault="001C59B5" w:rsidP="00A258EC">
            <w:pPr>
              <w:jc w:val="right"/>
              <w:rPr>
                <w:color w:val="000000"/>
                <w:sz w:val="22"/>
                <w:szCs w:val="22"/>
                <w:lang w:val="en-US"/>
              </w:rPr>
            </w:pPr>
            <w:r w:rsidRPr="001C59B5">
              <w:rPr>
                <w:color w:val="000000"/>
                <w:sz w:val="22"/>
                <w:szCs w:val="22"/>
                <w:lang w:val="en-US"/>
              </w:rPr>
              <w:t>512,73</w:t>
            </w:r>
          </w:p>
        </w:tc>
        <w:tc>
          <w:tcPr>
            <w:tcW w:w="891" w:type="pct"/>
            <w:tcBorders>
              <w:top w:val="nil"/>
              <w:left w:val="nil"/>
              <w:bottom w:val="nil"/>
              <w:right w:val="single" w:sz="12" w:space="0" w:color="auto"/>
            </w:tcBorders>
            <w:shd w:val="clear" w:color="auto" w:fill="auto"/>
            <w:vAlign w:val="center"/>
            <w:hideMark/>
          </w:tcPr>
          <w:p w:rsidR="00A258EC" w:rsidRPr="00112117" w:rsidRDefault="001C59B5" w:rsidP="00A258EC">
            <w:pPr>
              <w:jc w:val="right"/>
              <w:rPr>
                <w:color w:val="000000"/>
                <w:sz w:val="22"/>
                <w:szCs w:val="22"/>
                <w:lang w:val="en-US"/>
              </w:rPr>
            </w:pPr>
            <w:r>
              <w:rPr>
                <w:color w:val="000000"/>
                <w:sz w:val="22"/>
                <w:szCs w:val="22"/>
                <w:lang w:val="en-US"/>
              </w:rPr>
              <w:t>0,00</w:t>
            </w:r>
          </w:p>
        </w:tc>
      </w:tr>
      <w:tr w:rsidR="00A258EC" w:rsidTr="00A760D1">
        <w:trPr>
          <w:trHeight w:val="300"/>
        </w:trPr>
        <w:tc>
          <w:tcPr>
            <w:tcW w:w="3218" w:type="pct"/>
            <w:tcBorders>
              <w:top w:val="nil"/>
              <w:left w:val="single" w:sz="12" w:space="0" w:color="auto"/>
              <w:bottom w:val="nil"/>
              <w:right w:val="single" w:sz="12" w:space="0" w:color="auto"/>
            </w:tcBorders>
            <w:shd w:val="clear" w:color="auto" w:fill="auto"/>
            <w:vAlign w:val="center"/>
            <w:hideMark/>
          </w:tcPr>
          <w:p w:rsidR="00A258EC" w:rsidRDefault="00A258EC" w:rsidP="00A258EC">
            <w:pPr>
              <w:rPr>
                <w:color w:val="000000"/>
                <w:sz w:val="22"/>
                <w:szCs w:val="22"/>
              </w:rPr>
            </w:pPr>
            <w:r>
              <w:rPr>
                <w:color w:val="000000"/>
                <w:sz w:val="22"/>
                <w:szCs w:val="22"/>
              </w:rPr>
              <w:t>Λοιπά έξοδα</w:t>
            </w:r>
          </w:p>
        </w:tc>
        <w:tc>
          <w:tcPr>
            <w:tcW w:w="891" w:type="pct"/>
            <w:tcBorders>
              <w:top w:val="nil"/>
              <w:left w:val="nil"/>
              <w:bottom w:val="single" w:sz="2" w:space="0" w:color="auto"/>
              <w:right w:val="single" w:sz="12" w:space="0" w:color="auto"/>
            </w:tcBorders>
            <w:shd w:val="clear" w:color="auto" w:fill="auto"/>
            <w:vAlign w:val="center"/>
            <w:hideMark/>
          </w:tcPr>
          <w:p w:rsidR="00A258EC" w:rsidRPr="00A258EC" w:rsidRDefault="001C59B5" w:rsidP="00A258EC">
            <w:pPr>
              <w:jc w:val="right"/>
              <w:rPr>
                <w:color w:val="000000"/>
                <w:sz w:val="22"/>
                <w:szCs w:val="22"/>
                <w:lang w:val="en-US"/>
              </w:rPr>
            </w:pPr>
            <w:r w:rsidRPr="001C59B5">
              <w:rPr>
                <w:color w:val="000000"/>
                <w:sz w:val="22"/>
                <w:szCs w:val="22"/>
                <w:lang w:val="en-US"/>
              </w:rPr>
              <w:t>800,00</w:t>
            </w:r>
          </w:p>
        </w:tc>
        <w:tc>
          <w:tcPr>
            <w:tcW w:w="891" w:type="pct"/>
            <w:tcBorders>
              <w:top w:val="nil"/>
              <w:left w:val="nil"/>
              <w:bottom w:val="single" w:sz="2" w:space="0" w:color="auto"/>
              <w:right w:val="single" w:sz="12" w:space="0" w:color="auto"/>
            </w:tcBorders>
            <w:shd w:val="clear" w:color="auto" w:fill="auto"/>
            <w:vAlign w:val="center"/>
            <w:hideMark/>
          </w:tcPr>
          <w:p w:rsidR="00A258EC" w:rsidRPr="00112117" w:rsidRDefault="001C59B5" w:rsidP="00A258EC">
            <w:pPr>
              <w:jc w:val="right"/>
              <w:rPr>
                <w:color w:val="000000"/>
                <w:sz w:val="22"/>
                <w:szCs w:val="22"/>
                <w:lang w:val="en-US"/>
              </w:rPr>
            </w:pPr>
            <w:r>
              <w:rPr>
                <w:color w:val="000000"/>
                <w:sz w:val="22"/>
                <w:szCs w:val="22"/>
                <w:lang w:val="en-US"/>
              </w:rPr>
              <w:t>607,56</w:t>
            </w:r>
          </w:p>
        </w:tc>
      </w:tr>
      <w:tr w:rsidR="00A258EC" w:rsidTr="00A760D1">
        <w:trPr>
          <w:trHeight w:val="300"/>
        </w:trPr>
        <w:tc>
          <w:tcPr>
            <w:tcW w:w="3218" w:type="pct"/>
            <w:tcBorders>
              <w:top w:val="nil"/>
              <w:left w:val="single" w:sz="12" w:space="0" w:color="auto"/>
              <w:bottom w:val="single" w:sz="12" w:space="0" w:color="auto"/>
              <w:right w:val="single" w:sz="12" w:space="0" w:color="auto"/>
            </w:tcBorders>
            <w:shd w:val="clear" w:color="auto" w:fill="auto"/>
            <w:vAlign w:val="center"/>
            <w:hideMark/>
          </w:tcPr>
          <w:p w:rsidR="00A258EC" w:rsidRDefault="00A258EC" w:rsidP="00A258EC">
            <w:pPr>
              <w:rPr>
                <w:b/>
                <w:bCs/>
                <w:color w:val="000000"/>
                <w:sz w:val="22"/>
                <w:szCs w:val="22"/>
              </w:rPr>
            </w:pPr>
            <w:r>
              <w:rPr>
                <w:b/>
                <w:bCs/>
                <w:color w:val="000000"/>
                <w:sz w:val="22"/>
                <w:szCs w:val="22"/>
              </w:rPr>
              <w:t>Σύνολο</w:t>
            </w:r>
          </w:p>
        </w:tc>
        <w:tc>
          <w:tcPr>
            <w:tcW w:w="891" w:type="pct"/>
            <w:tcBorders>
              <w:top w:val="single" w:sz="2" w:space="0" w:color="auto"/>
              <w:left w:val="nil"/>
              <w:bottom w:val="double" w:sz="6" w:space="0" w:color="auto"/>
              <w:right w:val="single" w:sz="12" w:space="0" w:color="auto"/>
            </w:tcBorders>
            <w:shd w:val="clear" w:color="auto" w:fill="auto"/>
            <w:vAlign w:val="center"/>
            <w:hideMark/>
          </w:tcPr>
          <w:p w:rsidR="00A258EC" w:rsidRPr="00BA57FE" w:rsidRDefault="001C59B5" w:rsidP="00A258EC">
            <w:pPr>
              <w:jc w:val="right"/>
              <w:rPr>
                <w:b/>
                <w:bCs/>
                <w:color w:val="000000"/>
                <w:sz w:val="22"/>
                <w:szCs w:val="22"/>
                <w:lang w:val="en-US"/>
              </w:rPr>
            </w:pPr>
            <w:r w:rsidRPr="001C59B5">
              <w:rPr>
                <w:b/>
                <w:bCs/>
                <w:color w:val="000000"/>
                <w:sz w:val="22"/>
                <w:szCs w:val="22"/>
                <w:lang w:val="en-US"/>
              </w:rPr>
              <w:t>1.312,73</w:t>
            </w:r>
          </w:p>
        </w:tc>
        <w:tc>
          <w:tcPr>
            <w:tcW w:w="891" w:type="pct"/>
            <w:tcBorders>
              <w:top w:val="single" w:sz="2" w:space="0" w:color="auto"/>
              <w:left w:val="nil"/>
              <w:bottom w:val="double" w:sz="6" w:space="0" w:color="auto"/>
              <w:right w:val="single" w:sz="12" w:space="0" w:color="auto"/>
            </w:tcBorders>
            <w:shd w:val="clear" w:color="auto" w:fill="auto"/>
            <w:vAlign w:val="center"/>
            <w:hideMark/>
          </w:tcPr>
          <w:p w:rsidR="00A258EC" w:rsidRDefault="001C59B5" w:rsidP="00A258EC">
            <w:pPr>
              <w:jc w:val="right"/>
              <w:rPr>
                <w:b/>
                <w:bCs/>
                <w:color w:val="000000"/>
                <w:sz w:val="22"/>
                <w:szCs w:val="22"/>
              </w:rPr>
            </w:pPr>
            <w:r w:rsidRPr="001C59B5">
              <w:rPr>
                <w:b/>
                <w:bCs/>
                <w:color w:val="000000"/>
                <w:sz w:val="22"/>
                <w:szCs w:val="22"/>
              </w:rPr>
              <w:t>607,56</w:t>
            </w:r>
          </w:p>
        </w:tc>
      </w:tr>
    </w:tbl>
    <w:p w:rsidR="00F86817" w:rsidRPr="00A131AE" w:rsidRDefault="00F86817" w:rsidP="00523C3C">
      <w:pPr>
        <w:pStyle w:val="a8"/>
        <w:rPr>
          <w:highlight w:val="yellow"/>
        </w:rPr>
      </w:pPr>
    </w:p>
    <w:p w:rsidR="000A192C" w:rsidRPr="00A760D1" w:rsidRDefault="000A192C" w:rsidP="000A192C">
      <w:pPr>
        <w:pStyle w:val="1"/>
        <w:jc w:val="left"/>
      </w:pPr>
      <w:bookmarkStart w:id="41" w:name="_Toc488058544"/>
      <w:bookmarkStart w:id="42" w:name="_Toc15546005"/>
      <w:r w:rsidRPr="00A760D1">
        <w:t>12. Τόκοι που ενσωματώθηκαν στην αξία περιουσιακών στοιχείων στην περίοδο</w:t>
      </w:r>
      <w:bookmarkEnd w:id="41"/>
      <w:bookmarkEnd w:id="42"/>
    </w:p>
    <w:p w:rsidR="000A192C" w:rsidRPr="00A760D1" w:rsidRDefault="000A192C" w:rsidP="000A192C">
      <w:pPr>
        <w:rPr>
          <w:sz w:val="16"/>
          <w:szCs w:val="16"/>
          <w:lang w:eastAsia="en-US"/>
        </w:rPr>
      </w:pPr>
    </w:p>
    <w:p w:rsidR="000A192C" w:rsidRDefault="000A192C" w:rsidP="000A192C">
      <w:pPr>
        <w:shd w:val="clear" w:color="auto" w:fill="FFFFFF"/>
        <w:spacing w:after="200" w:line="276" w:lineRule="auto"/>
        <w:ind w:left="5" w:right="14" w:firstLine="562"/>
        <w:jc w:val="both"/>
        <w:rPr>
          <w:sz w:val="22"/>
          <w:szCs w:val="22"/>
        </w:rPr>
      </w:pPr>
      <w:r w:rsidRPr="00A760D1">
        <w:rPr>
          <w:sz w:val="22"/>
          <w:szCs w:val="22"/>
        </w:rPr>
        <w:t>Δεν έχουν ενσωματωθεί τόκοι στην αξία περιουσιακών στοιχείων.</w:t>
      </w:r>
    </w:p>
    <w:p w:rsidR="003506D2" w:rsidRPr="00A760D1" w:rsidRDefault="003506D2" w:rsidP="000A192C">
      <w:pPr>
        <w:shd w:val="clear" w:color="auto" w:fill="FFFFFF"/>
        <w:spacing w:after="200" w:line="276" w:lineRule="auto"/>
        <w:ind w:left="5" w:right="14" w:firstLine="562"/>
        <w:jc w:val="both"/>
        <w:rPr>
          <w:sz w:val="22"/>
          <w:szCs w:val="22"/>
        </w:rPr>
      </w:pPr>
    </w:p>
    <w:p w:rsidR="00874993" w:rsidRPr="003B0ED9" w:rsidRDefault="00FC44B4" w:rsidP="006949A7">
      <w:pPr>
        <w:pStyle w:val="1"/>
        <w:jc w:val="left"/>
      </w:pPr>
      <w:bookmarkStart w:id="43" w:name="_Toc488058545"/>
      <w:bookmarkStart w:id="44" w:name="_Toc15546006"/>
      <w:r w:rsidRPr="003B0ED9">
        <w:t>1</w:t>
      </w:r>
      <w:r w:rsidR="00E24828" w:rsidRPr="003B0ED9">
        <w:t>3</w:t>
      </w:r>
      <w:r w:rsidR="00FF2F42" w:rsidRPr="003B0ED9">
        <w:t>. Π</w:t>
      </w:r>
      <w:r w:rsidR="00874993" w:rsidRPr="003B0ED9">
        <w:t>ροτεινόμενη διάθεση κερδών</w:t>
      </w:r>
      <w:bookmarkEnd w:id="43"/>
      <w:bookmarkEnd w:id="44"/>
    </w:p>
    <w:p w:rsidR="004715E9" w:rsidRPr="003B0ED9" w:rsidRDefault="004715E9" w:rsidP="00B82D0D">
      <w:pPr>
        <w:pStyle w:val="Default"/>
        <w:spacing w:after="200" w:line="276" w:lineRule="auto"/>
        <w:ind w:firstLine="720"/>
        <w:rPr>
          <w:rFonts w:ascii="Times New Roman" w:hAnsi="Times New Roman" w:cs="Times New Roman"/>
          <w:bCs/>
          <w:iCs/>
          <w:sz w:val="4"/>
          <w:szCs w:val="22"/>
        </w:rPr>
      </w:pPr>
    </w:p>
    <w:p w:rsidR="00E24828" w:rsidRDefault="003B0ED9" w:rsidP="00BE214B">
      <w:pPr>
        <w:pStyle w:val="Default"/>
        <w:spacing w:after="200" w:line="276" w:lineRule="auto"/>
        <w:ind w:firstLine="720"/>
        <w:jc w:val="both"/>
        <w:rPr>
          <w:rFonts w:ascii="Times New Roman" w:hAnsi="Times New Roman" w:cs="Times New Roman"/>
          <w:bCs/>
          <w:iCs/>
          <w:sz w:val="22"/>
          <w:szCs w:val="22"/>
        </w:rPr>
      </w:pPr>
      <w:r w:rsidRPr="003B0ED9">
        <w:rPr>
          <w:rFonts w:ascii="Times New Roman" w:hAnsi="Times New Roman" w:cs="Times New Roman"/>
          <w:bCs/>
          <w:iCs/>
          <w:sz w:val="22"/>
          <w:szCs w:val="22"/>
        </w:rPr>
        <w:t>Το αποτέλεσμα της χρήσης ήταν ζημιογόνο</w:t>
      </w:r>
      <w:r w:rsidR="00BE214B" w:rsidRPr="003B0ED9">
        <w:rPr>
          <w:rFonts w:ascii="Times New Roman" w:hAnsi="Times New Roman" w:cs="Times New Roman"/>
          <w:bCs/>
          <w:iCs/>
          <w:sz w:val="22"/>
          <w:szCs w:val="22"/>
        </w:rPr>
        <w:t>.</w:t>
      </w:r>
      <w:r w:rsidR="00E24828" w:rsidRPr="003B0ED9">
        <w:rPr>
          <w:rFonts w:ascii="Times New Roman" w:hAnsi="Times New Roman" w:cs="Times New Roman"/>
          <w:bCs/>
          <w:iCs/>
          <w:sz w:val="22"/>
          <w:szCs w:val="22"/>
        </w:rPr>
        <w:t xml:space="preserve"> </w:t>
      </w:r>
    </w:p>
    <w:p w:rsidR="003506D2" w:rsidRPr="003B0ED9" w:rsidRDefault="003506D2" w:rsidP="00BE214B">
      <w:pPr>
        <w:pStyle w:val="Default"/>
        <w:spacing w:after="200" w:line="276" w:lineRule="auto"/>
        <w:ind w:firstLine="720"/>
        <w:jc w:val="both"/>
        <w:rPr>
          <w:rFonts w:ascii="Times New Roman" w:hAnsi="Times New Roman" w:cs="Times New Roman"/>
          <w:bCs/>
          <w:iCs/>
          <w:sz w:val="22"/>
          <w:szCs w:val="22"/>
        </w:rPr>
      </w:pPr>
    </w:p>
    <w:p w:rsidR="00874993" w:rsidRPr="00A760D1" w:rsidRDefault="00FF2F42" w:rsidP="006949A7">
      <w:pPr>
        <w:pStyle w:val="1"/>
        <w:jc w:val="left"/>
      </w:pPr>
      <w:bookmarkStart w:id="45" w:name="_Toc488058546"/>
      <w:bookmarkStart w:id="46" w:name="_Toc15546007"/>
      <w:r w:rsidRPr="00A760D1">
        <w:t>﻿1</w:t>
      </w:r>
      <w:r w:rsidR="00E24828" w:rsidRPr="00A760D1">
        <w:t>4</w:t>
      </w:r>
      <w:r w:rsidRPr="00A760D1">
        <w:t>. Κ</w:t>
      </w:r>
      <w:r w:rsidR="00874993" w:rsidRPr="00A760D1">
        <w:t>αταβληθέντα μερίσματα στην περίοδο</w:t>
      </w:r>
      <w:bookmarkEnd w:id="45"/>
      <w:bookmarkEnd w:id="46"/>
    </w:p>
    <w:p w:rsidR="00523C3C" w:rsidRPr="00A760D1" w:rsidRDefault="00523C3C" w:rsidP="00523C3C">
      <w:pPr>
        <w:rPr>
          <w:sz w:val="22"/>
          <w:szCs w:val="22"/>
          <w:lang w:eastAsia="en-US"/>
        </w:rPr>
      </w:pPr>
    </w:p>
    <w:p w:rsidR="00E24828" w:rsidRDefault="00D72D1D" w:rsidP="00B82D0D">
      <w:pPr>
        <w:shd w:val="clear" w:color="auto" w:fill="FFFFFF"/>
        <w:spacing w:after="200" w:line="276" w:lineRule="auto"/>
        <w:ind w:right="14" w:firstLine="567"/>
        <w:rPr>
          <w:sz w:val="22"/>
          <w:szCs w:val="22"/>
        </w:rPr>
      </w:pPr>
      <w:r w:rsidRPr="00A760D1">
        <w:rPr>
          <w:sz w:val="22"/>
          <w:szCs w:val="22"/>
        </w:rPr>
        <w:t>Στην κλειόμενη περίοδο δεν καταβλήθηκαν μερίσματα.</w:t>
      </w:r>
    </w:p>
    <w:p w:rsidR="003506D2" w:rsidRPr="00A760D1" w:rsidRDefault="003506D2" w:rsidP="00B82D0D">
      <w:pPr>
        <w:shd w:val="clear" w:color="auto" w:fill="FFFFFF"/>
        <w:spacing w:after="200" w:line="276" w:lineRule="auto"/>
        <w:ind w:right="14" w:firstLine="567"/>
        <w:rPr>
          <w:sz w:val="22"/>
          <w:szCs w:val="22"/>
        </w:rPr>
      </w:pPr>
    </w:p>
    <w:p w:rsidR="00874993" w:rsidRPr="003B0ED9" w:rsidRDefault="00FC44B4" w:rsidP="006949A7">
      <w:pPr>
        <w:pStyle w:val="1"/>
        <w:jc w:val="left"/>
      </w:pPr>
      <w:bookmarkStart w:id="47" w:name="_Toc488058547"/>
      <w:bookmarkStart w:id="48" w:name="_Toc15546008"/>
      <w:r w:rsidRPr="003B0ED9">
        <w:t>1</w:t>
      </w:r>
      <w:r w:rsidR="00E24828" w:rsidRPr="003B0ED9">
        <w:t>5</w:t>
      </w:r>
      <w:r w:rsidR="00FF2F42" w:rsidRPr="003B0ED9">
        <w:t>. Λ</w:t>
      </w:r>
      <w:r w:rsidR="00874993" w:rsidRPr="003B0ED9">
        <w:t>ογιστικός χειρισμός ζημιών περιόδου</w:t>
      </w:r>
      <w:bookmarkEnd w:id="47"/>
      <w:bookmarkEnd w:id="48"/>
    </w:p>
    <w:p w:rsidR="00523C3C" w:rsidRPr="003B0ED9" w:rsidRDefault="00523C3C" w:rsidP="00523C3C">
      <w:pPr>
        <w:rPr>
          <w:sz w:val="16"/>
          <w:szCs w:val="16"/>
          <w:lang w:val="x-none" w:eastAsia="en-US"/>
        </w:rPr>
      </w:pPr>
    </w:p>
    <w:p w:rsidR="00FF2F42" w:rsidRDefault="003B0ED9" w:rsidP="00B82D0D">
      <w:pPr>
        <w:shd w:val="clear" w:color="auto" w:fill="FFFFFF"/>
        <w:spacing w:after="200" w:line="276" w:lineRule="auto"/>
        <w:ind w:left="5" w:right="14" w:firstLine="562"/>
        <w:jc w:val="both"/>
        <w:rPr>
          <w:sz w:val="22"/>
          <w:szCs w:val="22"/>
        </w:rPr>
      </w:pPr>
      <w:r w:rsidRPr="003B0ED9">
        <w:rPr>
          <w:sz w:val="22"/>
          <w:szCs w:val="22"/>
        </w:rPr>
        <w:t xml:space="preserve">Το ζημιογόνο αποτέλεσμα της χρήσης </w:t>
      </w:r>
      <w:r>
        <w:rPr>
          <w:sz w:val="22"/>
          <w:szCs w:val="22"/>
        </w:rPr>
        <w:t>αύξησε</w:t>
      </w:r>
      <w:r w:rsidRPr="003B0ED9">
        <w:rPr>
          <w:sz w:val="22"/>
          <w:szCs w:val="22"/>
        </w:rPr>
        <w:t xml:space="preserve"> το υπόλοιπο ζημιών προηγουμένων χρήσεων</w:t>
      </w:r>
      <w:r w:rsidR="00EB2225" w:rsidRPr="003B0ED9">
        <w:rPr>
          <w:sz w:val="22"/>
          <w:szCs w:val="22"/>
        </w:rPr>
        <w:t>.</w:t>
      </w:r>
    </w:p>
    <w:p w:rsidR="003506D2" w:rsidRPr="003B0ED9" w:rsidRDefault="003506D2" w:rsidP="00B82D0D">
      <w:pPr>
        <w:shd w:val="clear" w:color="auto" w:fill="FFFFFF"/>
        <w:spacing w:after="200" w:line="276" w:lineRule="auto"/>
        <w:ind w:left="5" w:right="14" w:firstLine="562"/>
        <w:jc w:val="both"/>
        <w:rPr>
          <w:sz w:val="22"/>
          <w:szCs w:val="22"/>
        </w:rPr>
      </w:pPr>
    </w:p>
    <w:p w:rsidR="00105FEE" w:rsidRPr="00A760D1" w:rsidRDefault="00105FEE" w:rsidP="00105FEE">
      <w:pPr>
        <w:pStyle w:val="1"/>
        <w:spacing w:line="228" w:lineRule="auto"/>
        <w:jc w:val="left"/>
        <w:rPr>
          <w:lang w:val="el-GR"/>
        </w:rPr>
      </w:pPr>
      <w:bookmarkStart w:id="49" w:name="_Toc488058548"/>
      <w:bookmarkStart w:id="50" w:name="_Toc15546009"/>
      <w:r w:rsidRPr="00A760D1">
        <w:lastRenderedPageBreak/>
        <w:t>1</w:t>
      </w:r>
      <w:r w:rsidRPr="00A760D1">
        <w:rPr>
          <w:lang w:val="el-GR"/>
        </w:rPr>
        <w:t>6</w:t>
      </w:r>
      <w:r w:rsidRPr="00A760D1">
        <w:t>.</w:t>
      </w:r>
      <w:r w:rsidRPr="00A760D1">
        <w:rPr>
          <w:lang w:val="el-GR"/>
        </w:rPr>
        <w:t xml:space="preserve"> Αναβαλλόμενοι φόροι</w:t>
      </w:r>
      <w:bookmarkEnd w:id="49"/>
      <w:bookmarkEnd w:id="50"/>
    </w:p>
    <w:p w:rsidR="00105FEE" w:rsidRPr="00A760D1" w:rsidRDefault="00105FEE" w:rsidP="00105FEE">
      <w:pPr>
        <w:spacing w:line="228" w:lineRule="auto"/>
        <w:rPr>
          <w:sz w:val="16"/>
          <w:szCs w:val="16"/>
          <w:lang w:val="x-none" w:eastAsia="en-US"/>
        </w:rPr>
      </w:pPr>
    </w:p>
    <w:p w:rsidR="00105FEE" w:rsidRPr="00A760D1" w:rsidRDefault="00105FEE" w:rsidP="00105FEE">
      <w:pPr>
        <w:shd w:val="clear" w:color="auto" w:fill="FFFFFF"/>
        <w:spacing w:after="200" w:line="276" w:lineRule="auto"/>
        <w:ind w:left="5" w:right="14" w:firstLine="562"/>
        <w:jc w:val="both"/>
        <w:rPr>
          <w:sz w:val="22"/>
          <w:szCs w:val="22"/>
        </w:rPr>
      </w:pPr>
      <w:r w:rsidRPr="00A760D1">
        <w:rPr>
          <w:sz w:val="22"/>
          <w:szCs w:val="22"/>
        </w:rPr>
        <w:t>Η εταιρεία δεν έχει επιλέξει την καταχώρηση αναβαλλόμενων φόρων.</w:t>
      </w:r>
    </w:p>
    <w:p w:rsidR="001C59B5" w:rsidRDefault="001C59B5" w:rsidP="003554D4">
      <w:pPr>
        <w:pStyle w:val="1"/>
        <w:spacing w:line="228" w:lineRule="auto"/>
        <w:jc w:val="left"/>
      </w:pPr>
      <w:bookmarkStart w:id="51" w:name="_Toc488058549"/>
      <w:bookmarkStart w:id="52" w:name="_Toc15546010"/>
    </w:p>
    <w:p w:rsidR="00874993" w:rsidRPr="00711F5F" w:rsidRDefault="00606B3E" w:rsidP="003554D4">
      <w:pPr>
        <w:pStyle w:val="1"/>
        <w:spacing w:line="228" w:lineRule="auto"/>
        <w:jc w:val="left"/>
      </w:pPr>
      <w:r w:rsidRPr="00711F5F">
        <w:t>1</w:t>
      </w:r>
      <w:r w:rsidR="00E24828" w:rsidRPr="00711F5F">
        <w:t>7</w:t>
      </w:r>
      <w:r w:rsidR="00FF2F42" w:rsidRPr="00711F5F">
        <w:t>. Κ</w:t>
      </w:r>
      <w:r w:rsidR="00874993" w:rsidRPr="00711F5F">
        <w:t>ατηγορίες και αμοιβές προσωπικού</w:t>
      </w:r>
      <w:bookmarkEnd w:id="51"/>
      <w:bookmarkEnd w:id="52"/>
    </w:p>
    <w:p w:rsidR="00523C3C" w:rsidRPr="00711F5F" w:rsidRDefault="00523C3C" w:rsidP="003554D4">
      <w:pPr>
        <w:spacing w:line="228" w:lineRule="auto"/>
        <w:rPr>
          <w:sz w:val="16"/>
          <w:szCs w:val="16"/>
          <w:lang w:val="x-none" w:eastAsia="en-US"/>
        </w:rPr>
      </w:pPr>
    </w:p>
    <w:p w:rsidR="00576ABC" w:rsidRPr="00A131AE" w:rsidRDefault="001C59B5" w:rsidP="001C59B5">
      <w:pPr>
        <w:pStyle w:val="a8"/>
        <w:spacing w:line="228" w:lineRule="auto"/>
        <w:ind w:firstLine="720"/>
        <w:rPr>
          <w:highlight w:val="yellow"/>
        </w:rPr>
      </w:pPr>
      <w:r w:rsidRPr="00FA0511">
        <w:rPr>
          <w:sz w:val="22"/>
          <w:szCs w:val="22"/>
        </w:rPr>
        <w:t xml:space="preserve">Δεν υφίστανται </w:t>
      </w:r>
      <w:r>
        <w:rPr>
          <w:sz w:val="22"/>
          <w:szCs w:val="22"/>
        </w:rPr>
        <w:t xml:space="preserve">αμοιβές προσωπικού </w:t>
      </w:r>
      <w:r w:rsidRPr="00FA0511">
        <w:rPr>
          <w:sz w:val="22"/>
          <w:szCs w:val="22"/>
        </w:rPr>
        <w:t>.</w:t>
      </w:r>
    </w:p>
    <w:p w:rsidR="001C59B5" w:rsidRDefault="001C59B5" w:rsidP="003554D4">
      <w:pPr>
        <w:pStyle w:val="1"/>
        <w:spacing w:line="228" w:lineRule="auto"/>
        <w:jc w:val="left"/>
      </w:pPr>
      <w:bookmarkStart w:id="53" w:name="_Toc488058550"/>
      <w:bookmarkStart w:id="54" w:name="_Toc15546011"/>
    </w:p>
    <w:p w:rsidR="001C59B5" w:rsidRDefault="001C59B5" w:rsidP="003554D4">
      <w:pPr>
        <w:pStyle w:val="1"/>
        <w:spacing w:line="228" w:lineRule="auto"/>
        <w:jc w:val="left"/>
      </w:pPr>
    </w:p>
    <w:p w:rsidR="00874993" w:rsidRPr="00A760D1" w:rsidRDefault="00E24828" w:rsidP="003554D4">
      <w:pPr>
        <w:pStyle w:val="1"/>
        <w:spacing w:line="228" w:lineRule="auto"/>
        <w:jc w:val="left"/>
      </w:pPr>
      <w:r w:rsidRPr="00A760D1">
        <w:t>18</w:t>
      </w:r>
      <w:r w:rsidR="00FF2F42" w:rsidRPr="00A760D1">
        <w:t>. Α</w:t>
      </w:r>
      <w:r w:rsidR="00874993" w:rsidRPr="00A760D1">
        <w:t>νάλυση του κύκλου εργασιών ανά κατηγορίες δραστηριότητας και γεωγραφικές περιοχές</w:t>
      </w:r>
      <w:bookmarkEnd w:id="53"/>
      <w:bookmarkEnd w:id="54"/>
    </w:p>
    <w:p w:rsidR="00523C3C" w:rsidRPr="00A760D1" w:rsidRDefault="00523C3C" w:rsidP="003554D4">
      <w:pPr>
        <w:spacing w:line="228" w:lineRule="auto"/>
        <w:rPr>
          <w:sz w:val="16"/>
          <w:szCs w:val="16"/>
          <w:lang w:val="x-none" w:eastAsia="en-US"/>
        </w:rPr>
      </w:pPr>
    </w:p>
    <w:p w:rsidR="00FF2F42" w:rsidRPr="00A760D1" w:rsidRDefault="00FF2F42" w:rsidP="003554D4">
      <w:pPr>
        <w:shd w:val="clear" w:color="auto" w:fill="FFFFFF"/>
        <w:spacing w:after="200" w:line="228" w:lineRule="auto"/>
        <w:ind w:left="5" w:right="14" w:firstLine="562"/>
        <w:jc w:val="both"/>
        <w:rPr>
          <w:sz w:val="22"/>
          <w:szCs w:val="22"/>
        </w:rPr>
      </w:pPr>
      <w:r w:rsidRPr="00A760D1">
        <w:rPr>
          <w:sz w:val="22"/>
          <w:szCs w:val="22"/>
        </w:rPr>
        <w:t>Ο κύκλος εργασιών αναλύεται ως εξής:</w:t>
      </w:r>
    </w:p>
    <w:tbl>
      <w:tblPr>
        <w:tblW w:w="5000" w:type="pct"/>
        <w:tblLook w:val="04A0" w:firstRow="1" w:lastRow="0" w:firstColumn="1" w:lastColumn="0" w:noHBand="0" w:noVBand="1"/>
      </w:tblPr>
      <w:tblGrid>
        <w:gridCol w:w="5656"/>
        <w:gridCol w:w="2125"/>
        <w:gridCol w:w="1941"/>
      </w:tblGrid>
      <w:tr w:rsidR="00A760D1" w:rsidTr="00D862A9">
        <w:trPr>
          <w:trHeight w:val="315"/>
        </w:trPr>
        <w:tc>
          <w:tcPr>
            <w:tcW w:w="2908" w:type="pct"/>
            <w:tcBorders>
              <w:top w:val="single" w:sz="12" w:space="0" w:color="auto"/>
              <w:left w:val="single" w:sz="12" w:space="0" w:color="auto"/>
              <w:bottom w:val="nil"/>
              <w:right w:val="single" w:sz="12" w:space="0" w:color="auto"/>
            </w:tcBorders>
            <w:shd w:val="clear" w:color="auto" w:fill="auto"/>
            <w:vAlign w:val="center"/>
            <w:hideMark/>
          </w:tcPr>
          <w:p w:rsidR="00A760D1" w:rsidRDefault="00A760D1">
            <w:pPr>
              <w:rPr>
                <w:b/>
                <w:bCs/>
                <w:color w:val="000000"/>
                <w:sz w:val="22"/>
                <w:szCs w:val="22"/>
              </w:rPr>
            </w:pPr>
            <w:r>
              <w:rPr>
                <w:b/>
                <w:bCs/>
                <w:color w:val="000000"/>
                <w:sz w:val="22"/>
                <w:szCs w:val="22"/>
              </w:rPr>
              <w:t> </w:t>
            </w:r>
          </w:p>
        </w:tc>
        <w:tc>
          <w:tcPr>
            <w:tcW w:w="1093" w:type="pct"/>
            <w:tcBorders>
              <w:top w:val="single" w:sz="12" w:space="0" w:color="auto"/>
              <w:left w:val="nil"/>
              <w:bottom w:val="nil"/>
              <w:right w:val="single" w:sz="12" w:space="0" w:color="auto"/>
            </w:tcBorders>
            <w:shd w:val="clear" w:color="auto" w:fill="auto"/>
            <w:vAlign w:val="center"/>
            <w:hideMark/>
          </w:tcPr>
          <w:p w:rsidR="00A760D1" w:rsidRDefault="00BA57FE">
            <w:pPr>
              <w:jc w:val="center"/>
              <w:rPr>
                <w:b/>
                <w:bCs/>
                <w:color w:val="000000"/>
                <w:sz w:val="22"/>
                <w:szCs w:val="22"/>
              </w:rPr>
            </w:pPr>
            <w:r>
              <w:rPr>
                <w:b/>
                <w:bCs/>
                <w:color w:val="000000"/>
                <w:sz w:val="22"/>
                <w:szCs w:val="22"/>
              </w:rPr>
              <w:t>31/12/202</w:t>
            </w:r>
            <w:r w:rsidR="001C59B5">
              <w:rPr>
                <w:b/>
                <w:bCs/>
                <w:color w:val="000000"/>
                <w:sz w:val="22"/>
                <w:szCs w:val="22"/>
              </w:rPr>
              <w:t>1</w:t>
            </w:r>
          </w:p>
        </w:tc>
        <w:tc>
          <w:tcPr>
            <w:tcW w:w="998" w:type="pct"/>
            <w:tcBorders>
              <w:top w:val="single" w:sz="12" w:space="0" w:color="auto"/>
              <w:left w:val="nil"/>
              <w:bottom w:val="nil"/>
              <w:right w:val="single" w:sz="12" w:space="0" w:color="auto"/>
            </w:tcBorders>
            <w:shd w:val="clear" w:color="auto" w:fill="auto"/>
            <w:vAlign w:val="center"/>
            <w:hideMark/>
          </w:tcPr>
          <w:p w:rsidR="00A760D1" w:rsidRDefault="001C59B5">
            <w:pPr>
              <w:jc w:val="center"/>
              <w:rPr>
                <w:b/>
                <w:bCs/>
                <w:color w:val="000000"/>
                <w:sz w:val="22"/>
                <w:szCs w:val="22"/>
              </w:rPr>
            </w:pPr>
            <w:r>
              <w:rPr>
                <w:b/>
                <w:bCs/>
                <w:color w:val="000000"/>
                <w:sz w:val="22"/>
                <w:szCs w:val="22"/>
              </w:rPr>
              <w:t>31/12/2020</w:t>
            </w:r>
          </w:p>
        </w:tc>
      </w:tr>
      <w:tr w:rsidR="00BA57FE" w:rsidTr="00D862A9">
        <w:trPr>
          <w:trHeight w:val="788"/>
        </w:trPr>
        <w:tc>
          <w:tcPr>
            <w:tcW w:w="2908" w:type="pct"/>
            <w:tcBorders>
              <w:top w:val="single" w:sz="12" w:space="0" w:color="auto"/>
              <w:left w:val="single" w:sz="12" w:space="0" w:color="auto"/>
              <w:bottom w:val="nil"/>
              <w:right w:val="single" w:sz="12" w:space="0" w:color="auto"/>
            </w:tcBorders>
            <w:shd w:val="clear" w:color="auto" w:fill="auto"/>
            <w:vAlign w:val="center"/>
          </w:tcPr>
          <w:p w:rsidR="00BA57FE" w:rsidRDefault="00BA57FE">
            <w:pPr>
              <w:rPr>
                <w:b/>
                <w:bCs/>
                <w:color w:val="000000"/>
                <w:sz w:val="22"/>
                <w:szCs w:val="22"/>
              </w:rPr>
            </w:pPr>
            <w:r>
              <w:rPr>
                <w:b/>
                <w:bCs/>
                <w:color w:val="000000"/>
                <w:sz w:val="22"/>
                <w:szCs w:val="22"/>
              </w:rPr>
              <w:t>Κατηγορίες δραστηριότητας</w:t>
            </w:r>
          </w:p>
        </w:tc>
        <w:tc>
          <w:tcPr>
            <w:tcW w:w="1093" w:type="pct"/>
            <w:tcBorders>
              <w:top w:val="single" w:sz="12" w:space="0" w:color="auto"/>
              <w:left w:val="nil"/>
              <w:bottom w:val="nil"/>
              <w:right w:val="single" w:sz="12" w:space="0" w:color="auto"/>
            </w:tcBorders>
            <w:shd w:val="clear" w:color="auto" w:fill="auto"/>
            <w:vAlign w:val="center"/>
          </w:tcPr>
          <w:p w:rsidR="00BA57FE" w:rsidRDefault="00BA57FE" w:rsidP="00BA57FE">
            <w:pPr>
              <w:rPr>
                <w:color w:val="000000"/>
                <w:sz w:val="22"/>
                <w:szCs w:val="22"/>
              </w:rPr>
            </w:pPr>
          </w:p>
        </w:tc>
        <w:tc>
          <w:tcPr>
            <w:tcW w:w="998" w:type="pct"/>
            <w:tcBorders>
              <w:top w:val="single" w:sz="12" w:space="0" w:color="auto"/>
              <w:left w:val="nil"/>
              <w:bottom w:val="nil"/>
              <w:right w:val="single" w:sz="12" w:space="0" w:color="auto"/>
            </w:tcBorders>
            <w:shd w:val="clear" w:color="auto" w:fill="auto"/>
            <w:vAlign w:val="center"/>
          </w:tcPr>
          <w:p w:rsidR="00BA57FE" w:rsidRDefault="00BA57FE" w:rsidP="00BA57FE">
            <w:pPr>
              <w:rPr>
                <w:color w:val="000000"/>
                <w:sz w:val="22"/>
                <w:szCs w:val="22"/>
              </w:rPr>
            </w:pPr>
          </w:p>
        </w:tc>
      </w:tr>
      <w:tr w:rsidR="00BA57FE" w:rsidTr="00D862A9">
        <w:trPr>
          <w:trHeight w:val="315"/>
        </w:trPr>
        <w:tc>
          <w:tcPr>
            <w:tcW w:w="2908" w:type="pct"/>
            <w:tcBorders>
              <w:top w:val="nil"/>
              <w:left w:val="single" w:sz="12" w:space="0" w:color="auto"/>
              <w:bottom w:val="nil"/>
              <w:right w:val="single" w:sz="12" w:space="0" w:color="auto"/>
            </w:tcBorders>
            <w:shd w:val="clear" w:color="auto" w:fill="auto"/>
            <w:vAlign w:val="center"/>
            <w:hideMark/>
          </w:tcPr>
          <w:p w:rsidR="00BA57FE" w:rsidRDefault="00BA57FE" w:rsidP="00BA57FE">
            <w:pPr>
              <w:rPr>
                <w:color w:val="000000"/>
                <w:sz w:val="22"/>
                <w:szCs w:val="22"/>
              </w:rPr>
            </w:pPr>
            <w:r>
              <w:rPr>
                <w:color w:val="000000"/>
                <w:sz w:val="22"/>
                <w:szCs w:val="22"/>
              </w:rPr>
              <w:t>Παροχή υπηρεσιών</w:t>
            </w:r>
          </w:p>
        </w:tc>
        <w:tc>
          <w:tcPr>
            <w:tcW w:w="1093" w:type="pct"/>
            <w:tcBorders>
              <w:top w:val="nil"/>
              <w:left w:val="nil"/>
              <w:bottom w:val="single" w:sz="8" w:space="0" w:color="auto"/>
              <w:right w:val="single" w:sz="12" w:space="0" w:color="auto"/>
            </w:tcBorders>
            <w:shd w:val="clear" w:color="auto" w:fill="auto"/>
            <w:vAlign w:val="center"/>
            <w:hideMark/>
          </w:tcPr>
          <w:p w:rsidR="00BA57FE" w:rsidRDefault="00BA57FE" w:rsidP="00BA57FE">
            <w:pPr>
              <w:jc w:val="right"/>
              <w:rPr>
                <w:color w:val="000000"/>
                <w:sz w:val="22"/>
                <w:szCs w:val="22"/>
              </w:rPr>
            </w:pPr>
            <w:r w:rsidRPr="00BA57FE">
              <w:rPr>
                <w:color w:val="000000"/>
                <w:sz w:val="22"/>
                <w:szCs w:val="22"/>
              </w:rPr>
              <w:t>11.200,00</w:t>
            </w:r>
          </w:p>
        </w:tc>
        <w:tc>
          <w:tcPr>
            <w:tcW w:w="998" w:type="pct"/>
            <w:tcBorders>
              <w:top w:val="nil"/>
              <w:left w:val="nil"/>
              <w:bottom w:val="single" w:sz="8" w:space="0" w:color="auto"/>
              <w:right w:val="single" w:sz="12" w:space="0" w:color="auto"/>
            </w:tcBorders>
            <w:shd w:val="clear" w:color="auto" w:fill="auto"/>
            <w:vAlign w:val="center"/>
            <w:hideMark/>
          </w:tcPr>
          <w:p w:rsidR="00BA57FE" w:rsidRDefault="00BA57FE" w:rsidP="00BA57FE">
            <w:pPr>
              <w:jc w:val="right"/>
              <w:rPr>
                <w:color w:val="000000"/>
                <w:sz w:val="22"/>
                <w:szCs w:val="22"/>
              </w:rPr>
            </w:pPr>
            <w:r>
              <w:rPr>
                <w:color w:val="000000"/>
                <w:sz w:val="22"/>
                <w:szCs w:val="22"/>
              </w:rPr>
              <w:t>30.400,00</w:t>
            </w:r>
          </w:p>
        </w:tc>
      </w:tr>
      <w:tr w:rsidR="00BA57FE" w:rsidTr="00D862A9">
        <w:trPr>
          <w:trHeight w:val="300"/>
        </w:trPr>
        <w:tc>
          <w:tcPr>
            <w:tcW w:w="2908" w:type="pct"/>
            <w:tcBorders>
              <w:top w:val="nil"/>
              <w:left w:val="single" w:sz="12" w:space="0" w:color="auto"/>
              <w:bottom w:val="nil"/>
              <w:right w:val="single" w:sz="12" w:space="0" w:color="auto"/>
            </w:tcBorders>
            <w:shd w:val="clear" w:color="auto" w:fill="auto"/>
            <w:vAlign w:val="center"/>
            <w:hideMark/>
          </w:tcPr>
          <w:p w:rsidR="00BA57FE" w:rsidRDefault="00BA57FE" w:rsidP="00BA57FE">
            <w:pPr>
              <w:rPr>
                <w:b/>
                <w:bCs/>
                <w:color w:val="000000"/>
                <w:sz w:val="22"/>
                <w:szCs w:val="22"/>
              </w:rPr>
            </w:pPr>
            <w:r>
              <w:rPr>
                <w:b/>
                <w:bCs/>
                <w:color w:val="000000"/>
                <w:sz w:val="22"/>
                <w:szCs w:val="22"/>
              </w:rPr>
              <w:t>Σύνολο</w:t>
            </w:r>
          </w:p>
        </w:tc>
        <w:tc>
          <w:tcPr>
            <w:tcW w:w="1093" w:type="pct"/>
            <w:tcBorders>
              <w:top w:val="nil"/>
              <w:left w:val="nil"/>
              <w:bottom w:val="double" w:sz="6" w:space="0" w:color="auto"/>
              <w:right w:val="single" w:sz="12" w:space="0" w:color="auto"/>
            </w:tcBorders>
            <w:shd w:val="clear" w:color="auto" w:fill="auto"/>
            <w:vAlign w:val="center"/>
            <w:hideMark/>
          </w:tcPr>
          <w:p w:rsidR="00BA57FE" w:rsidRDefault="00BA57FE" w:rsidP="00BA57FE">
            <w:pPr>
              <w:jc w:val="right"/>
              <w:rPr>
                <w:b/>
                <w:bCs/>
                <w:color w:val="000000"/>
                <w:sz w:val="22"/>
                <w:szCs w:val="22"/>
              </w:rPr>
            </w:pPr>
            <w:r w:rsidRPr="00BA57FE">
              <w:rPr>
                <w:b/>
                <w:bCs/>
                <w:color w:val="000000"/>
                <w:sz w:val="22"/>
                <w:szCs w:val="22"/>
              </w:rPr>
              <w:t>11.200,00</w:t>
            </w:r>
          </w:p>
        </w:tc>
        <w:tc>
          <w:tcPr>
            <w:tcW w:w="998" w:type="pct"/>
            <w:tcBorders>
              <w:top w:val="nil"/>
              <w:left w:val="nil"/>
              <w:bottom w:val="double" w:sz="6" w:space="0" w:color="auto"/>
              <w:right w:val="single" w:sz="12" w:space="0" w:color="auto"/>
            </w:tcBorders>
            <w:shd w:val="clear" w:color="auto" w:fill="auto"/>
            <w:vAlign w:val="center"/>
            <w:hideMark/>
          </w:tcPr>
          <w:p w:rsidR="00BA57FE" w:rsidRDefault="00BA57FE" w:rsidP="00BA57FE">
            <w:pPr>
              <w:jc w:val="right"/>
              <w:rPr>
                <w:b/>
                <w:bCs/>
                <w:color w:val="000000"/>
                <w:sz w:val="22"/>
                <w:szCs w:val="22"/>
              </w:rPr>
            </w:pPr>
            <w:r w:rsidRPr="00AD64DF">
              <w:rPr>
                <w:b/>
                <w:bCs/>
                <w:color w:val="000000"/>
                <w:sz w:val="22"/>
                <w:szCs w:val="22"/>
              </w:rPr>
              <w:t>30.400,00</w:t>
            </w:r>
          </w:p>
        </w:tc>
      </w:tr>
      <w:tr w:rsidR="00AD64DF" w:rsidTr="00D862A9">
        <w:trPr>
          <w:trHeight w:val="300"/>
        </w:trPr>
        <w:tc>
          <w:tcPr>
            <w:tcW w:w="2908" w:type="pct"/>
            <w:tcBorders>
              <w:top w:val="nil"/>
              <w:left w:val="single" w:sz="12" w:space="0" w:color="auto"/>
              <w:bottom w:val="nil"/>
              <w:right w:val="single" w:sz="12" w:space="0" w:color="auto"/>
            </w:tcBorders>
            <w:shd w:val="clear" w:color="auto" w:fill="auto"/>
            <w:vAlign w:val="center"/>
            <w:hideMark/>
          </w:tcPr>
          <w:p w:rsidR="00AD64DF" w:rsidRDefault="00AD64DF" w:rsidP="00AD64DF">
            <w:pPr>
              <w:rPr>
                <w:b/>
                <w:bCs/>
                <w:color w:val="000000"/>
                <w:sz w:val="22"/>
                <w:szCs w:val="22"/>
              </w:rPr>
            </w:pPr>
            <w:r>
              <w:rPr>
                <w:b/>
                <w:bCs/>
                <w:color w:val="000000"/>
                <w:sz w:val="22"/>
                <w:szCs w:val="22"/>
              </w:rPr>
              <w:t>Γεωγραφικές αγορές</w:t>
            </w:r>
          </w:p>
        </w:tc>
        <w:tc>
          <w:tcPr>
            <w:tcW w:w="1093" w:type="pct"/>
            <w:tcBorders>
              <w:top w:val="nil"/>
              <w:left w:val="nil"/>
              <w:right w:val="single" w:sz="12" w:space="0" w:color="auto"/>
            </w:tcBorders>
            <w:shd w:val="clear" w:color="auto" w:fill="auto"/>
            <w:vAlign w:val="center"/>
            <w:hideMark/>
          </w:tcPr>
          <w:p w:rsidR="00AD64DF" w:rsidRDefault="00AD64DF" w:rsidP="00AD64DF">
            <w:pPr>
              <w:jc w:val="right"/>
              <w:rPr>
                <w:color w:val="000000"/>
                <w:sz w:val="22"/>
                <w:szCs w:val="22"/>
              </w:rPr>
            </w:pPr>
            <w:r>
              <w:rPr>
                <w:color w:val="000000"/>
                <w:sz w:val="22"/>
                <w:szCs w:val="22"/>
              </w:rPr>
              <w:t> </w:t>
            </w:r>
          </w:p>
        </w:tc>
        <w:tc>
          <w:tcPr>
            <w:tcW w:w="998" w:type="pct"/>
            <w:tcBorders>
              <w:top w:val="nil"/>
              <w:left w:val="nil"/>
              <w:right w:val="single" w:sz="12" w:space="0" w:color="auto"/>
            </w:tcBorders>
            <w:shd w:val="clear" w:color="auto" w:fill="auto"/>
            <w:vAlign w:val="center"/>
            <w:hideMark/>
          </w:tcPr>
          <w:p w:rsidR="00AD64DF" w:rsidRDefault="00AD64DF" w:rsidP="00AD64DF">
            <w:pPr>
              <w:jc w:val="right"/>
              <w:rPr>
                <w:color w:val="000000"/>
                <w:sz w:val="22"/>
                <w:szCs w:val="22"/>
              </w:rPr>
            </w:pPr>
            <w:r>
              <w:rPr>
                <w:color w:val="000000"/>
                <w:sz w:val="22"/>
                <w:szCs w:val="22"/>
              </w:rPr>
              <w:t> </w:t>
            </w:r>
          </w:p>
        </w:tc>
      </w:tr>
      <w:tr w:rsidR="00BA57FE" w:rsidTr="00D862A9">
        <w:trPr>
          <w:trHeight w:val="300"/>
        </w:trPr>
        <w:tc>
          <w:tcPr>
            <w:tcW w:w="2908" w:type="pct"/>
            <w:tcBorders>
              <w:top w:val="nil"/>
              <w:left w:val="single" w:sz="12" w:space="0" w:color="auto"/>
              <w:bottom w:val="nil"/>
              <w:right w:val="single" w:sz="12" w:space="0" w:color="auto"/>
            </w:tcBorders>
            <w:shd w:val="clear" w:color="auto" w:fill="auto"/>
            <w:vAlign w:val="center"/>
            <w:hideMark/>
          </w:tcPr>
          <w:p w:rsidR="00BA57FE" w:rsidRDefault="00BA57FE" w:rsidP="00BA57FE">
            <w:pPr>
              <w:rPr>
                <w:color w:val="000000"/>
                <w:sz w:val="22"/>
                <w:szCs w:val="22"/>
              </w:rPr>
            </w:pPr>
            <w:r>
              <w:rPr>
                <w:color w:val="000000"/>
                <w:sz w:val="22"/>
                <w:szCs w:val="22"/>
              </w:rPr>
              <w:t>Εσωτερική αγορά</w:t>
            </w:r>
          </w:p>
        </w:tc>
        <w:tc>
          <w:tcPr>
            <w:tcW w:w="1093" w:type="pct"/>
            <w:tcBorders>
              <w:top w:val="nil"/>
              <w:left w:val="nil"/>
              <w:bottom w:val="single" w:sz="2" w:space="0" w:color="auto"/>
              <w:right w:val="single" w:sz="12" w:space="0" w:color="auto"/>
            </w:tcBorders>
            <w:shd w:val="clear" w:color="auto" w:fill="auto"/>
            <w:vAlign w:val="center"/>
            <w:hideMark/>
          </w:tcPr>
          <w:p w:rsidR="00BA57FE" w:rsidRDefault="00BA57FE" w:rsidP="00BA57FE">
            <w:pPr>
              <w:jc w:val="right"/>
              <w:rPr>
                <w:color w:val="000000"/>
                <w:sz w:val="22"/>
                <w:szCs w:val="22"/>
              </w:rPr>
            </w:pPr>
            <w:r w:rsidRPr="00BA57FE">
              <w:rPr>
                <w:color w:val="000000"/>
                <w:sz w:val="22"/>
                <w:szCs w:val="22"/>
              </w:rPr>
              <w:t>11.200,00</w:t>
            </w:r>
          </w:p>
        </w:tc>
        <w:tc>
          <w:tcPr>
            <w:tcW w:w="998" w:type="pct"/>
            <w:tcBorders>
              <w:top w:val="nil"/>
              <w:left w:val="nil"/>
              <w:bottom w:val="single" w:sz="2" w:space="0" w:color="auto"/>
              <w:right w:val="single" w:sz="12" w:space="0" w:color="auto"/>
            </w:tcBorders>
            <w:shd w:val="clear" w:color="auto" w:fill="auto"/>
            <w:vAlign w:val="center"/>
            <w:hideMark/>
          </w:tcPr>
          <w:p w:rsidR="00BA57FE" w:rsidRDefault="00BA57FE" w:rsidP="00BA57FE">
            <w:pPr>
              <w:jc w:val="right"/>
              <w:rPr>
                <w:color w:val="000000"/>
                <w:sz w:val="22"/>
                <w:szCs w:val="22"/>
              </w:rPr>
            </w:pPr>
            <w:r w:rsidRPr="00AD64DF">
              <w:rPr>
                <w:color w:val="000000"/>
                <w:sz w:val="22"/>
                <w:szCs w:val="22"/>
              </w:rPr>
              <w:t>30.400,00</w:t>
            </w:r>
          </w:p>
        </w:tc>
      </w:tr>
      <w:tr w:rsidR="00BA57FE" w:rsidTr="00D862A9">
        <w:trPr>
          <w:trHeight w:val="52"/>
        </w:trPr>
        <w:tc>
          <w:tcPr>
            <w:tcW w:w="2908" w:type="pct"/>
            <w:tcBorders>
              <w:top w:val="nil"/>
              <w:left w:val="single" w:sz="12" w:space="0" w:color="auto"/>
              <w:bottom w:val="single" w:sz="12" w:space="0" w:color="auto"/>
              <w:right w:val="single" w:sz="12" w:space="0" w:color="auto"/>
            </w:tcBorders>
            <w:shd w:val="clear" w:color="auto" w:fill="auto"/>
            <w:vAlign w:val="center"/>
            <w:hideMark/>
          </w:tcPr>
          <w:p w:rsidR="00BA57FE" w:rsidRDefault="00BA57FE" w:rsidP="00BA57FE">
            <w:pPr>
              <w:rPr>
                <w:b/>
                <w:bCs/>
                <w:color w:val="000000"/>
                <w:sz w:val="22"/>
                <w:szCs w:val="22"/>
              </w:rPr>
            </w:pPr>
            <w:r>
              <w:rPr>
                <w:b/>
                <w:bCs/>
                <w:color w:val="000000"/>
                <w:sz w:val="22"/>
                <w:szCs w:val="22"/>
              </w:rPr>
              <w:t>Σύνολο</w:t>
            </w:r>
          </w:p>
        </w:tc>
        <w:tc>
          <w:tcPr>
            <w:tcW w:w="1093" w:type="pct"/>
            <w:tcBorders>
              <w:top w:val="single" w:sz="2" w:space="0" w:color="auto"/>
              <w:left w:val="nil"/>
              <w:bottom w:val="double" w:sz="6" w:space="0" w:color="auto"/>
              <w:right w:val="single" w:sz="12" w:space="0" w:color="auto"/>
            </w:tcBorders>
            <w:shd w:val="clear" w:color="auto" w:fill="auto"/>
            <w:vAlign w:val="center"/>
            <w:hideMark/>
          </w:tcPr>
          <w:p w:rsidR="00BA57FE" w:rsidRDefault="00BA57FE" w:rsidP="00BA57FE">
            <w:pPr>
              <w:jc w:val="right"/>
              <w:rPr>
                <w:b/>
                <w:bCs/>
                <w:color w:val="000000"/>
                <w:sz w:val="22"/>
                <w:szCs w:val="22"/>
              </w:rPr>
            </w:pPr>
            <w:r w:rsidRPr="00BA57FE">
              <w:rPr>
                <w:b/>
                <w:bCs/>
                <w:color w:val="000000"/>
                <w:sz w:val="22"/>
                <w:szCs w:val="22"/>
              </w:rPr>
              <w:t>11.200,00</w:t>
            </w:r>
          </w:p>
        </w:tc>
        <w:tc>
          <w:tcPr>
            <w:tcW w:w="998" w:type="pct"/>
            <w:tcBorders>
              <w:top w:val="single" w:sz="2" w:space="0" w:color="auto"/>
              <w:left w:val="nil"/>
              <w:bottom w:val="double" w:sz="6" w:space="0" w:color="auto"/>
              <w:right w:val="single" w:sz="12" w:space="0" w:color="auto"/>
            </w:tcBorders>
            <w:shd w:val="clear" w:color="auto" w:fill="auto"/>
            <w:vAlign w:val="center"/>
            <w:hideMark/>
          </w:tcPr>
          <w:p w:rsidR="00BA57FE" w:rsidRDefault="00BA57FE" w:rsidP="00BA57FE">
            <w:pPr>
              <w:jc w:val="right"/>
              <w:rPr>
                <w:b/>
                <w:bCs/>
                <w:color w:val="000000"/>
                <w:sz w:val="22"/>
                <w:szCs w:val="22"/>
              </w:rPr>
            </w:pPr>
            <w:r w:rsidRPr="00AD64DF">
              <w:rPr>
                <w:b/>
                <w:bCs/>
                <w:color w:val="000000"/>
                <w:sz w:val="22"/>
                <w:szCs w:val="22"/>
              </w:rPr>
              <w:t>30.400,00</w:t>
            </w:r>
          </w:p>
        </w:tc>
      </w:tr>
    </w:tbl>
    <w:p w:rsidR="00A760D1" w:rsidRDefault="00A760D1" w:rsidP="003554D4">
      <w:pPr>
        <w:shd w:val="clear" w:color="auto" w:fill="FFFFFF"/>
        <w:spacing w:after="200" w:line="228" w:lineRule="auto"/>
        <w:ind w:left="5" w:right="14" w:firstLine="562"/>
        <w:jc w:val="both"/>
        <w:rPr>
          <w:sz w:val="22"/>
          <w:szCs w:val="22"/>
          <w:highlight w:val="yellow"/>
        </w:rPr>
      </w:pPr>
    </w:p>
    <w:p w:rsidR="00372E08" w:rsidRPr="00A760D1" w:rsidRDefault="009E738C" w:rsidP="006949A7">
      <w:pPr>
        <w:pStyle w:val="1"/>
        <w:jc w:val="left"/>
      </w:pPr>
      <w:bookmarkStart w:id="55" w:name="_Toc488058551"/>
      <w:bookmarkStart w:id="56" w:name="_Toc15546012"/>
      <w:r w:rsidRPr="00A760D1">
        <w:rPr>
          <w:lang w:val="el-GR"/>
        </w:rPr>
        <w:t>19</w:t>
      </w:r>
      <w:r w:rsidR="00FF2F42" w:rsidRPr="00A760D1">
        <w:t>.  Σ</w:t>
      </w:r>
      <w:r w:rsidR="00372E08" w:rsidRPr="00A760D1">
        <w:t>υμμετοχές σε εταιρείες με απεριόριστη ευθύνη των εταίρων</w:t>
      </w:r>
      <w:bookmarkEnd w:id="55"/>
      <w:bookmarkEnd w:id="56"/>
    </w:p>
    <w:p w:rsidR="00523C3C" w:rsidRPr="00A760D1" w:rsidRDefault="00523C3C" w:rsidP="00523C3C">
      <w:pPr>
        <w:rPr>
          <w:sz w:val="16"/>
          <w:szCs w:val="16"/>
          <w:lang w:eastAsia="en-US"/>
        </w:rPr>
      </w:pPr>
    </w:p>
    <w:p w:rsidR="00FF2F42" w:rsidRPr="00A760D1" w:rsidRDefault="00FF2F42" w:rsidP="00B82D0D">
      <w:pPr>
        <w:shd w:val="clear" w:color="auto" w:fill="FFFFFF"/>
        <w:spacing w:after="200" w:line="276" w:lineRule="auto"/>
        <w:ind w:left="5" w:right="14" w:firstLine="562"/>
        <w:jc w:val="both"/>
        <w:rPr>
          <w:sz w:val="22"/>
          <w:szCs w:val="22"/>
        </w:rPr>
      </w:pPr>
      <w:r w:rsidRPr="00A760D1">
        <w:rPr>
          <w:sz w:val="22"/>
          <w:szCs w:val="22"/>
        </w:rPr>
        <w:t>Δεν υπάρχουν τέτοιες συμμετοχές.</w:t>
      </w:r>
    </w:p>
    <w:p w:rsidR="00B02CCA" w:rsidRPr="00A131AE" w:rsidRDefault="00B02CCA" w:rsidP="00523C3C">
      <w:pPr>
        <w:pStyle w:val="a8"/>
        <w:rPr>
          <w:highlight w:val="yellow"/>
        </w:rPr>
      </w:pPr>
    </w:p>
    <w:p w:rsidR="00372E08" w:rsidRPr="003B0ED9" w:rsidRDefault="009E738C" w:rsidP="006949A7">
      <w:pPr>
        <w:pStyle w:val="1"/>
        <w:jc w:val="left"/>
      </w:pPr>
      <w:bookmarkStart w:id="57" w:name="_Toc488058552"/>
      <w:bookmarkStart w:id="58" w:name="_Toc15546013"/>
      <w:r w:rsidRPr="003B0ED9">
        <w:rPr>
          <w:lang w:val="el-GR"/>
        </w:rPr>
        <w:t>20</w:t>
      </w:r>
      <w:r w:rsidR="00FF2F42" w:rsidRPr="003B0ED9">
        <w:t>.  Σ</w:t>
      </w:r>
      <w:r w:rsidR="00372E08" w:rsidRPr="003B0ED9">
        <w:t>τοιχεία της εταιρείας που καταρτίζει ενοποιημένες χρηματοοικονομικές καταστάσεις του τελικού συνόλου επιχειρήσεων, μέρος του οποίου αποτελεί η εταιρεία ως θυγατρική</w:t>
      </w:r>
      <w:bookmarkEnd w:id="57"/>
      <w:bookmarkEnd w:id="58"/>
    </w:p>
    <w:p w:rsidR="00523C3C" w:rsidRPr="003B0ED9" w:rsidRDefault="00523C3C" w:rsidP="00523C3C">
      <w:pPr>
        <w:rPr>
          <w:sz w:val="16"/>
          <w:szCs w:val="16"/>
          <w:lang w:eastAsia="en-US"/>
        </w:rPr>
      </w:pPr>
    </w:p>
    <w:p w:rsidR="001A260B" w:rsidRDefault="001A260B" w:rsidP="001A260B">
      <w:pPr>
        <w:shd w:val="clear" w:color="auto" w:fill="FFFFFF"/>
        <w:spacing w:after="200" w:line="276" w:lineRule="auto"/>
        <w:ind w:left="5" w:right="14" w:firstLine="562"/>
        <w:jc w:val="both"/>
        <w:rPr>
          <w:sz w:val="22"/>
          <w:szCs w:val="22"/>
        </w:rPr>
      </w:pPr>
      <w:r w:rsidRPr="003B0ED9">
        <w:rPr>
          <w:sz w:val="22"/>
          <w:szCs w:val="22"/>
        </w:rPr>
        <w:t>Η εταιρεία ανήκει σε τελικό σύνολο επιχειρήσεων για το οποίο καταρτίζονται ενοποιημένες οικονομικές καταστάσεις. Υποχρέωση καταρτίσεως αυτών των ενοποιημένων καταστάσεων έχει η μητρική εταιρεία «ΒΙΑΝΕΞ Α.Ε. ΑΝΩΝΥΜΟΣ ΕΜΠΟΡΟΒΙΟΜΗΧΑΝΙΚΗ-ΤΟΥΡΙΣΤΙΚΗ-ΞΕΝΟΔΟΧΕΙΑΚΗ ΚΑΙ ΝΑΥΤΙΛΙΑΚΗ ΑΝΩΝΥΜΟΣ ΕΤΑΙΡΕΙΑ» με τον διακριτικό τίτλο «ΒΙΑΝΕΞ ΑΕ» με έδρα τα γραφεία της επί της οδού ΤΑΤΟΪΟΥ, 18ο ΧΛΜ ΕΘΝΙΚΗΣ ΟΔΟΥ ΑΘΗΝΩΝ-ΛΑΜΙΑΣ, 146 71, ΚΗΦΙΣΙΑ.</w:t>
      </w:r>
    </w:p>
    <w:p w:rsidR="003506D2" w:rsidRPr="003B0ED9" w:rsidRDefault="003506D2" w:rsidP="001A260B">
      <w:pPr>
        <w:shd w:val="clear" w:color="auto" w:fill="FFFFFF"/>
        <w:spacing w:after="200" w:line="276" w:lineRule="auto"/>
        <w:ind w:left="5" w:right="14" w:firstLine="562"/>
        <w:jc w:val="both"/>
        <w:rPr>
          <w:sz w:val="22"/>
          <w:szCs w:val="22"/>
        </w:rPr>
      </w:pPr>
    </w:p>
    <w:p w:rsidR="00372E08" w:rsidRPr="003B0ED9" w:rsidRDefault="009E738C" w:rsidP="006949A7">
      <w:pPr>
        <w:pStyle w:val="1"/>
        <w:jc w:val="left"/>
      </w:pPr>
      <w:bookmarkStart w:id="59" w:name="_Toc488058553"/>
      <w:bookmarkStart w:id="60" w:name="_Toc15546014"/>
      <w:r w:rsidRPr="003B0ED9">
        <w:rPr>
          <w:lang w:val="el-GR"/>
        </w:rPr>
        <w:t>21</w:t>
      </w:r>
      <w:r w:rsidR="00FF2F42" w:rsidRPr="003B0ED9">
        <w:t xml:space="preserve">. </w:t>
      </w:r>
      <w:r w:rsidR="00372E08" w:rsidRPr="003B0ED9">
        <w:t xml:space="preserve"> Στοιχεία της εταιρείας που καταρτίζει ενοποιημένες χρηματοοικονομικές καταστάσεις μερικού συνόλου επιχειρήσεων, μέρος του οποίου αποτελεί η εταιρεία ως θυγατρική</w:t>
      </w:r>
      <w:bookmarkEnd w:id="59"/>
      <w:bookmarkEnd w:id="60"/>
    </w:p>
    <w:p w:rsidR="00523C3C" w:rsidRPr="003B0ED9" w:rsidRDefault="00523C3C" w:rsidP="00523C3C">
      <w:pPr>
        <w:rPr>
          <w:sz w:val="16"/>
          <w:szCs w:val="16"/>
          <w:lang w:eastAsia="en-US"/>
        </w:rPr>
      </w:pPr>
    </w:p>
    <w:p w:rsidR="001A260B" w:rsidRPr="003B0ED9" w:rsidRDefault="001A260B" w:rsidP="001A260B">
      <w:pPr>
        <w:shd w:val="clear" w:color="auto" w:fill="FFFFFF"/>
        <w:spacing w:after="200" w:line="276" w:lineRule="auto"/>
        <w:ind w:left="5" w:right="14" w:firstLine="562"/>
        <w:jc w:val="both"/>
        <w:rPr>
          <w:sz w:val="22"/>
          <w:szCs w:val="22"/>
        </w:rPr>
      </w:pPr>
      <w:r w:rsidRPr="003B0ED9">
        <w:rPr>
          <w:sz w:val="22"/>
          <w:szCs w:val="22"/>
        </w:rPr>
        <w:t>Η εταιρεία δεν ανήκει σε μερικό σύνολο επιχειρήσεων για το οποίο καταρτίζονται ενοποιημένες οικονομικές καταστάσεις.</w:t>
      </w:r>
    </w:p>
    <w:p w:rsidR="00E42549" w:rsidRPr="003B0ED9" w:rsidRDefault="00FF2F42" w:rsidP="006949A7">
      <w:pPr>
        <w:pStyle w:val="1"/>
        <w:jc w:val="left"/>
      </w:pPr>
      <w:bookmarkStart w:id="61" w:name="_Toc488058554"/>
      <w:bookmarkStart w:id="62" w:name="_Toc15546015"/>
      <w:r w:rsidRPr="003B0ED9">
        <w:t>﻿</w:t>
      </w:r>
      <w:r w:rsidR="009E738C" w:rsidRPr="003B0ED9">
        <w:rPr>
          <w:lang w:val="el-GR"/>
        </w:rPr>
        <w:t>22</w:t>
      </w:r>
      <w:r w:rsidRPr="003B0ED9">
        <w:t>. Τ</w:t>
      </w:r>
      <w:r w:rsidR="00E42549" w:rsidRPr="003B0ED9">
        <w:t>όπος στον οποίο διατίθενται οι ενοποιημένες χρηματοοικονομικές καταστάσεις</w:t>
      </w:r>
      <w:bookmarkEnd w:id="61"/>
      <w:bookmarkEnd w:id="62"/>
    </w:p>
    <w:p w:rsidR="00523C3C" w:rsidRPr="003B0ED9" w:rsidRDefault="00523C3C" w:rsidP="00523C3C">
      <w:pPr>
        <w:rPr>
          <w:sz w:val="16"/>
          <w:szCs w:val="16"/>
          <w:lang w:eastAsia="en-US"/>
        </w:rPr>
      </w:pPr>
    </w:p>
    <w:p w:rsidR="00A64D4E" w:rsidRDefault="00A64D4E" w:rsidP="00A64D4E">
      <w:pPr>
        <w:shd w:val="clear" w:color="auto" w:fill="FFFFFF"/>
        <w:spacing w:after="200" w:line="276" w:lineRule="auto"/>
        <w:ind w:left="5" w:right="14" w:firstLine="562"/>
        <w:jc w:val="both"/>
        <w:rPr>
          <w:sz w:val="22"/>
          <w:szCs w:val="22"/>
        </w:rPr>
      </w:pPr>
      <w:r w:rsidRPr="003B0ED9">
        <w:rPr>
          <w:sz w:val="22"/>
          <w:szCs w:val="22"/>
        </w:rPr>
        <w:t xml:space="preserve">Οι ενδιαφερόμενοι μπορούν να προμηθευτούν τις ενοποιημένες χρηματοοικονομικές καταστάσεις του τελικού συνόλου επιχειρήσεων, στα επί της οδού ΤΑΤΟΪΟΥ, 18ο ΧΛΜ ΕΘΝΙΚΗΣ ΟΔΟΥ ΑΘΗΝΩΝ-ΛΑΜΙΑΣ, 146 71, ΚΗΦΙΣΙΑ γραφεία της μητρικής εταιρείας </w:t>
      </w:r>
      <w:r w:rsidR="006553E2" w:rsidRPr="003B0ED9">
        <w:rPr>
          <w:sz w:val="22"/>
          <w:szCs w:val="22"/>
        </w:rPr>
        <w:t>ΒΙΑΞΕΞ Α.Ε</w:t>
      </w:r>
      <w:r w:rsidRPr="003B0ED9">
        <w:rPr>
          <w:sz w:val="22"/>
          <w:szCs w:val="22"/>
        </w:rPr>
        <w:t>.</w:t>
      </w:r>
    </w:p>
    <w:p w:rsidR="003506D2" w:rsidRPr="003B0ED9" w:rsidRDefault="003506D2" w:rsidP="00A64D4E">
      <w:pPr>
        <w:shd w:val="clear" w:color="auto" w:fill="FFFFFF"/>
        <w:spacing w:after="200" w:line="276" w:lineRule="auto"/>
        <w:ind w:left="5" w:right="14" w:firstLine="562"/>
        <w:jc w:val="both"/>
        <w:rPr>
          <w:sz w:val="22"/>
          <w:szCs w:val="22"/>
        </w:rPr>
      </w:pPr>
    </w:p>
    <w:p w:rsidR="00E42549" w:rsidRPr="00D3458A" w:rsidRDefault="009E738C" w:rsidP="006949A7">
      <w:pPr>
        <w:pStyle w:val="1"/>
        <w:jc w:val="left"/>
      </w:pPr>
      <w:bookmarkStart w:id="63" w:name="_Toc488058555"/>
      <w:bookmarkStart w:id="64" w:name="_Toc15546016"/>
      <w:r w:rsidRPr="00D3458A">
        <w:rPr>
          <w:lang w:val="el-GR"/>
        </w:rPr>
        <w:lastRenderedPageBreak/>
        <w:t>23</w:t>
      </w:r>
      <w:r w:rsidR="00FF2F42" w:rsidRPr="00D3458A">
        <w:t>. Α</w:t>
      </w:r>
      <w:r w:rsidR="00E42549" w:rsidRPr="00D3458A">
        <w:t>μοιβές σε μέλη διοικητικών διαχειριστικών και εποπτικών οργάνων</w:t>
      </w:r>
      <w:bookmarkEnd w:id="63"/>
      <w:bookmarkEnd w:id="64"/>
    </w:p>
    <w:p w:rsidR="00064B23" w:rsidRPr="00D3458A" w:rsidRDefault="00064B23" w:rsidP="00064B23">
      <w:pPr>
        <w:rPr>
          <w:sz w:val="16"/>
          <w:szCs w:val="16"/>
          <w:lang w:eastAsia="en-US"/>
        </w:rPr>
      </w:pPr>
    </w:p>
    <w:p w:rsidR="008115D1" w:rsidRPr="00D3458A" w:rsidRDefault="00BA57FE" w:rsidP="00B82D0D">
      <w:pPr>
        <w:shd w:val="clear" w:color="auto" w:fill="FFFFFF"/>
        <w:spacing w:after="200" w:line="276" w:lineRule="auto"/>
        <w:ind w:left="5" w:right="14" w:firstLine="562"/>
        <w:jc w:val="both"/>
        <w:rPr>
          <w:sz w:val="22"/>
          <w:szCs w:val="22"/>
        </w:rPr>
      </w:pPr>
      <w:r>
        <w:rPr>
          <w:sz w:val="22"/>
          <w:szCs w:val="22"/>
        </w:rPr>
        <w:t>Δεν συντρέχει.</w:t>
      </w:r>
    </w:p>
    <w:p w:rsidR="00685A75" w:rsidRPr="00D3458A" w:rsidRDefault="00685A75" w:rsidP="00064B23">
      <w:pPr>
        <w:pStyle w:val="a8"/>
      </w:pPr>
    </w:p>
    <w:p w:rsidR="003506D2" w:rsidRPr="00D3458A" w:rsidRDefault="003506D2" w:rsidP="00064B23">
      <w:pPr>
        <w:pStyle w:val="a8"/>
      </w:pPr>
    </w:p>
    <w:p w:rsidR="00E42549" w:rsidRPr="00D3458A" w:rsidRDefault="009E738C" w:rsidP="006949A7">
      <w:pPr>
        <w:pStyle w:val="1"/>
        <w:jc w:val="left"/>
      </w:pPr>
      <w:bookmarkStart w:id="65" w:name="_Toc488058556"/>
      <w:bookmarkStart w:id="66" w:name="_Toc15546017"/>
      <w:r w:rsidRPr="00D3458A">
        <w:rPr>
          <w:lang w:val="el-GR"/>
        </w:rPr>
        <w:t>24</w:t>
      </w:r>
      <w:r w:rsidR="00FF2F42" w:rsidRPr="00D3458A">
        <w:t>. Σ</w:t>
      </w:r>
      <w:r w:rsidR="00E42549" w:rsidRPr="00D3458A">
        <w:t>υναλλαγές με συνδεμένα μέρη</w:t>
      </w:r>
      <w:bookmarkEnd w:id="65"/>
      <w:bookmarkEnd w:id="66"/>
    </w:p>
    <w:p w:rsidR="00064B23" w:rsidRPr="00D3458A" w:rsidRDefault="00064B23" w:rsidP="00064B23">
      <w:pPr>
        <w:rPr>
          <w:sz w:val="16"/>
          <w:szCs w:val="16"/>
          <w:lang w:eastAsia="en-US"/>
        </w:rPr>
      </w:pPr>
    </w:p>
    <w:p w:rsidR="00A64D4E" w:rsidRPr="00D3458A" w:rsidRDefault="00A64D4E" w:rsidP="00A64D4E">
      <w:pPr>
        <w:shd w:val="clear" w:color="auto" w:fill="FFFFFF"/>
        <w:spacing w:after="200" w:line="276" w:lineRule="auto"/>
        <w:ind w:left="5" w:right="14" w:firstLine="562"/>
        <w:jc w:val="both"/>
        <w:rPr>
          <w:sz w:val="22"/>
          <w:szCs w:val="22"/>
        </w:rPr>
      </w:pPr>
      <w:r w:rsidRPr="00D3458A">
        <w:rPr>
          <w:sz w:val="22"/>
          <w:szCs w:val="22"/>
        </w:rPr>
        <w:t>Η εταιρεία έχει πραγματοποιήσει τις κατωτέρω συναλλαγές με συνδεμένα μέρη και στο τέλος της χρήσεως έχει τα κατωτέρω υπόλοιπα απαιτήσεων ή υποχρεώσεων από και προς συνδεμένα μέρη:</w:t>
      </w:r>
    </w:p>
    <w:tbl>
      <w:tblPr>
        <w:tblW w:w="9654" w:type="dxa"/>
        <w:tblInd w:w="93" w:type="dxa"/>
        <w:tblLook w:val="04A0" w:firstRow="1" w:lastRow="0" w:firstColumn="1" w:lastColumn="0" w:noHBand="0" w:noVBand="1"/>
      </w:tblPr>
      <w:tblGrid>
        <w:gridCol w:w="5421"/>
        <w:gridCol w:w="2126"/>
        <w:gridCol w:w="2107"/>
      </w:tblGrid>
      <w:tr w:rsidR="00757270" w:rsidRPr="00D3458A" w:rsidTr="00D862A9">
        <w:trPr>
          <w:trHeight w:val="315"/>
        </w:trPr>
        <w:tc>
          <w:tcPr>
            <w:tcW w:w="5421"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57270" w:rsidRPr="00D3458A" w:rsidRDefault="00757270">
            <w:pPr>
              <w:rPr>
                <w:b/>
                <w:bCs/>
                <w:color w:val="000000"/>
                <w:sz w:val="22"/>
                <w:szCs w:val="22"/>
              </w:rPr>
            </w:pPr>
            <w:r w:rsidRPr="00D3458A">
              <w:rPr>
                <w:b/>
                <w:bCs/>
                <w:color w:val="000000"/>
                <w:sz w:val="22"/>
                <w:szCs w:val="22"/>
              </w:rPr>
              <w:t> </w:t>
            </w:r>
          </w:p>
        </w:tc>
        <w:tc>
          <w:tcPr>
            <w:tcW w:w="2126" w:type="dxa"/>
            <w:tcBorders>
              <w:top w:val="single" w:sz="12" w:space="0" w:color="auto"/>
              <w:left w:val="nil"/>
              <w:bottom w:val="nil"/>
              <w:right w:val="single" w:sz="12" w:space="0" w:color="auto"/>
            </w:tcBorders>
            <w:shd w:val="clear" w:color="auto" w:fill="auto"/>
            <w:vAlign w:val="center"/>
            <w:hideMark/>
          </w:tcPr>
          <w:p w:rsidR="00757270" w:rsidRPr="00D3458A" w:rsidRDefault="00BA57FE" w:rsidP="004B03D1">
            <w:pPr>
              <w:jc w:val="center"/>
              <w:rPr>
                <w:b/>
                <w:bCs/>
                <w:color w:val="000000"/>
                <w:sz w:val="22"/>
                <w:szCs w:val="22"/>
                <w:lang w:val="en-US"/>
              </w:rPr>
            </w:pPr>
            <w:r>
              <w:rPr>
                <w:b/>
                <w:bCs/>
                <w:color w:val="000000"/>
                <w:sz w:val="22"/>
                <w:szCs w:val="22"/>
              </w:rPr>
              <w:t>31/12/202</w:t>
            </w:r>
            <w:r w:rsidR="0080504F">
              <w:rPr>
                <w:b/>
                <w:bCs/>
                <w:color w:val="000000"/>
                <w:sz w:val="22"/>
                <w:szCs w:val="22"/>
              </w:rPr>
              <w:t>1</w:t>
            </w:r>
          </w:p>
        </w:tc>
        <w:tc>
          <w:tcPr>
            <w:tcW w:w="2107" w:type="dxa"/>
            <w:tcBorders>
              <w:top w:val="single" w:sz="12" w:space="0" w:color="auto"/>
              <w:left w:val="nil"/>
              <w:bottom w:val="nil"/>
              <w:right w:val="single" w:sz="12" w:space="0" w:color="auto"/>
            </w:tcBorders>
            <w:shd w:val="clear" w:color="auto" w:fill="auto"/>
            <w:vAlign w:val="center"/>
            <w:hideMark/>
          </w:tcPr>
          <w:p w:rsidR="00757270" w:rsidRPr="00D3458A" w:rsidRDefault="0080504F" w:rsidP="00D3458A">
            <w:pPr>
              <w:jc w:val="center"/>
              <w:rPr>
                <w:b/>
                <w:bCs/>
                <w:color w:val="000000"/>
                <w:sz w:val="22"/>
                <w:szCs w:val="22"/>
                <w:lang w:val="en-US"/>
              </w:rPr>
            </w:pPr>
            <w:r>
              <w:rPr>
                <w:b/>
                <w:bCs/>
                <w:color w:val="000000"/>
                <w:sz w:val="22"/>
                <w:szCs w:val="22"/>
              </w:rPr>
              <w:t>31/12/2020</w:t>
            </w:r>
          </w:p>
        </w:tc>
      </w:tr>
      <w:tr w:rsidR="00757270" w:rsidRPr="00D3458A" w:rsidTr="00D862A9">
        <w:trPr>
          <w:trHeight w:val="315"/>
        </w:trPr>
        <w:tc>
          <w:tcPr>
            <w:tcW w:w="5421" w:type="dxa"/>
            <w:tcBorders>
              <w:top w:val="nil"/>
              <w:left w:val="single" w:sz="12" w:space="0" w:color="auto"/>
              <w:bottom w:val="nil"/>
              <w:right w:val="single" w:sz="12" w:space="0" w:color="auto"/>
            </w:tcBorders>
            <w:shd w:val="clear" w:color="auto" w:fill="auto"/>
            <w:vAlign w:val="center"/>
            <w:hideMark/>
          </w:tcPr>
          <w:p w:rsidR="00757270" w:rsidRPr="00D3458A" w:rsidRDefault="00757270">
            <w:pPr>
              <w:rPr>
                <w:b/>
                <w:bCs/>
                <w:color w:val="000000"/>
                <w:sz w:val="22"/>
                <w:szCs w:val="22"/>
              </w:rPr>
            </w:pPr>
            <w:r w:rsidRPr="00D3458A">
              <w:rPr>
                <w:b/>
                <w:bCs/>
                <w:color w:val="000000"/>
                <w:sz w:val="22"/>
                <w:szCs w:val="22"/>
              </w:rPr>
              <w:t>Σωρευτικές πωλήσεις</w:t>
            </w:r>
          </w:p>
        </w:tc>
        <w:tc>
          <w:tcPr>
            <w:tcW w:w="2126" w:type="dxa"/>
            <w:tcBorders>
              <w:top w:val="single" w:sz="12" w:space="0" w:color="auto"/>
              <w:left w:val="nil"/>
              <w:right w:val="single" w:sz="12" w:space="0" w:color="auto"/>
            </w:tcBorders>
            <w:shd w:val="clear" w:color="auto" w:fill="auto"/>
            <w:vAlign w:val="center"/>
            <w:hideMark/>
          </w:tcPr>
          <w:p w:rsidR="00757270" w:rsidRPr="00D3458A" w:rsidRDefault="00757270">
            <w:pPr>
              <w:rPr>
                <w:color w:val="000000"/>
                <w:sz w:val="22"/>
                <w:szCs w:val="22"/>
              </w:rPr>
            </w:pPr>
            <w:r w:rsidRPr="00D3458A">
              <w:rPr>
                <w:color w:val="000000"/>
                <w:sz w:val="22"/>
                <w:szCs w:val="22"/>
              </w:rPr>
              <w:t> </w:t>
            </w:r>
          </w:p>
        </w:tc>
        <w:tc>
          <w:tcPr>
            <w:tcW w:w="2107" w:type="dxa"/>
            <w:tcBorders>
              <w:top w:val="single" w:sz="12" w:space="0" w:color="auto"/>
              <w:left w:val="nil"/>
              <w:right w:val="single" w:sz="12" w:space="0" w:color="auto"/>
            </w:tcBorders>
            <w:shd w:val="clear" w:color="auto" w:fill="auto"/>
            <w:vAlign w:val="center"/>
            <w:hideMark/>
          </w:tcPr>
          <w:p w:rsidR="00757270" w:rsidRPr="00D3458A" w:rsidRDefault="00757270">
            <w:pPr>
              <w:rPr>
                <w:color w:val="000000"/>
                <w:sz w:val="22"/>
                <w:szCs w:val="22"/>
              </w:rPr>
            </w:pPr>
            <w:r w:rsidRPr="00D3458A">
              <w:rPr>
                <w:color w:val="000000"/>
                <w:sz w:val="22"/>
                <w:szCs w:val="22"/>
              </w:rPr>
              <w:t> </w:t>
            </w:r>
          </w:p>
        </w:tc>
      </w:tr>
      <w:tr w:rsidR="0080504F" w:rsidRPr="00D3458A" w:rsidTr="00D862A9">
        <w:trPr>
          <w:trHeight w:val="300"/>
        </w:trPr>
        <w:tc>
          <w:tcPr>
            <w:tcW w:w="5421" w:type="dxa"/>
            <w:tcBorders>
              <w:top w:val="nil"/>
              <w:left w:val="single" w:sz="12" w:space="0" w:color="auto"/>
              <w:bottom w:val="nil"/>
              <w:right w:val="single" w:sz="12" w:space="0" w:color="auto"/>
            </w:tcBorders>
            <w:shd w:val="clear" w:color="auto" w:fill="auto"/>
            <w:vAlign w:val="center"/>
            <w:hideMark/>
          </w:tcPr>
          <w:p w:rsidR="0080504F" w:rsidRPr="00D3458A" w:rsidRDefault="0080504F" w:rsidP="0080504F">
            <w:pPr>
              <w:rPr>
                <w:color w:val="000000"/>
                <w:sz w:val="22"/>
                <w:szCs w:val="22"/>
              </w:rPr>
            </w:pPr>
            <w:r w:rsidRPr="00D3458A">
              <w:rPr>
                <w:color w:val="000000"/>
                <w:sz w:val="22"/>
                <w:szCs w:val="22"/>
              </w:rPr>
              <w:t>Πωλήσεις υπηρεσιών</w:t>
            </w:r>
          </w:p>
        </w:tc>
        <w:tc>
          <w:tcPr>
            <w:tcW w:w="2126" w:type="dxa"/>
            <w:tcBorders>
              <w:top w:val="nil"/>
              <w:left w:val="nil"/>
              <w:bottom w:val="single" w:sz="4" w:space="0" w:color="auto"/>
              <w:right w:val="single" w:sz="12" w:space="0" w:color="auto"/>
            </w:tcBorders>
            <w:shd w:val="clear" w:color="auto" w:fill="auto"/>
            <w:vAlign w:val="center"/>
            <w:hideMark/>
          </w:tcPr>
          <w:p w:rsidR="0080504F" w:rsidRPr="00D3458A" w:rsidRDefault="0080504F" w:rsidP="0080504F">
            <w:pPr>
              <w:jc w:val="right"/>
              <w:rPr>
                <w:color w:val="000000"/>
                <w:sz w:val="22"/>
                <w:szCs w:val="22"/>
              </w:rPr>
            </w:pPr>
            <w:r>
              <w:rPr>
                <w:color w:val="000000"/>
                <w:sz w:val="22"/>
                <w:szCs w:val="22"/>
              </w:rPr>
              <w:t>10.0</w:t>
            </w:r>
            <w:r w:rsidRPr="00BA57FE">
              <w:rPr>
                <w:color w:val="000000"/>
                <w:sz w:val="22"/>
                <w:szCs w:val="22"/>
              </w:rPr>
              <w:t>00,00</w:t>
            </w:r>
          </w:p>
        </w:tc>
        <w:tc>
          <w:tcPr>
            <w:tcW w:w="2107" w:type="dxa"/>
            <w:tcBorders>
              <w:top w:val="nil"/>
              <w:left w:val="nil"/>
              <w:bottom w:val="single" w:sz="4" w:space="0" w:color="auto"/>
              <w:right w:val="single" w:sz="12" w:space="0" w:color="auto"/>
            </w:tcBorders>
            <w:shd w:val="clear" w:color="auto" w:fill="auto"/>
            <w:vAlign w:val="center"/>
            <w:hideMark/>
          </w:tcPr>
          <w:p w:rsidR="0080504F" w:rsidRPr="00D3458A" w:rsidRDefault="0080504F" w:rsidP="0080504F">
            <w:pPr>
              <w:jc w:val="right"/>
              <w:rPr>
                <w:color w:val="000000"/>
                <w:sz w:val="22"/>
                <w:szCs w:val="22"/>
              </w:rPr>
            </w:pPr>
            <w:r w:rsidRPr="00BA57FE">
              <w:rPr>
                <w:color w:val="000000"/>
                <w:sz w:val="22"/>
                <w:szCs w:val="22"/>
              </w:rPr>
              <w:t>11.200,00</w:t>
            </w:r>
          </w:p>
        </w:tc>
      </w:tr>
      <w:tr w:rsidR="0080504F" w:rsidRPr="00D3458A" w:rsidTr="00D862A9">
        <w:trPr>
          <w:trHeight w:val="315"/>
        </w:trPr>
        <w:tc>
          <w:tcPr>
            <w:tcW w:w="5421" w:type="dxa"/>
            <w:tcBorders>
              <w:top w:val="nil"/>
              <w:left w:val="single" w:sz="12" w:space="0" w:color="auto"/>
              <w:bottom w:val="nil"/>
              <w:right w:val="single" w:sz="12" w:space="0" w:color="auto"/>
            </w:tcBorders>
            <w:shd w:val="clear" w:color="auto" w:fill="auto"/>
            <w:vAlign w:val="center"/>
            <w:hideMark/>
          </w:tcPr>
          <w:p w:rsidR="0080504F" w:rsidRPr="00D3458A" w:rsidRDefault="0080504F" w:rsidP="0080504F">
            <w:pPr>
              <w:rPr>
                <w:color w:val="000000"/>
                <w:sz w:val="22"/>
                <w:szCs w:val="22"/>
              </w:rPr>
            </w:pPr>
            <w:r w:rsidRPr="00D3458A">
              <w:rPr>
                <w:color w:val="000000"/>
                <w:sz w:val="22"/>
                <w:szCs w:val="22"/>
              </w:rPr>
              <w:t> </w:t>
            </w:r>
          </w:p>
        </w:tc>
        <w:tc>
          <w:tcPr>
            <w:tcW w:w="2126" w:type="dxa"/>
            <w:tcBorders>
              <w:top w:val="single" w:sz="4" w:space="0" w:color="auto"/>
              <w:left w:val="nil"/>
              <w:bottom w:val="double" w:sz="6" w:space="0" w:color="auto"/>
              <w:right w:val="single" w:sz="12" w:space="0" w:color="auto"/>
            </w:tcBorders>
            <w:shd w:val="clear" w:color="auto" w:fill="auto"/>
            <w:vAlign w:val="center"/>
            <w:hideMark/>
          </w:tcPr>
          <w:p w:rsidR="0080504F" w:rsidRPr="00D3458A" w:rsidRDefault="0080504F" w:rsidP="0080504F">
            <w:pPr>
              <w:jc w:val="right"/>
              <w:rPr>
                <w:b/>
                <w:bCs/>
                <w:color w:val="000000"/>
                <w:sz w:val="22"/>
                <w:szCs w:val="22"/>
              </w:rPr>
            </w:pPr>
            <w:r>
              <w:rPr>
                <w:b/>
                <w:bCs/>
                <w:color w:val="000000"/>
                <w:sz w:val="22"/>
                <w:szCs w:val="22"/>
              </w:rPr>
              <w:t>10.0</w:t>
            </w:r>
            <w:r w:rsidRPr="00BA57FE">
              <w:rPr>
                <w:b/>
                <w:bCs/>
                <w:color w:val="000000"/>
                <w:sz w:val="22"/>
                <w:szCs w:val="22"/>
              </w:rPr>
              <w:t>00,00</w:t>
            </w:r>
          </w:p>
        </w:tc>
        <w:tc>
          <w:tcPr>
            <w:tcW w:w="2107" w:type="dxa"/>
            <w:tcBorders>
              <w:top w:val="single" w:sz="4" w:space="0" w:color="auto"/>
              <w:left w:val="nil"/>
              <w:bottom w:val="double" w:sz="6" w:space="0" w:color="auto"/>
              <w:right w:val="single" w:sz="12" w:space="0" w:color="auto"/>
            </w:tcBorders>
            <w:shd w:val="clear" w:color="auto" w:fill="auto"/>
            <w:vAlign w:val="center"/>
            <w:hideMark/>
          </w:tcPr>
          <w:p w:rsidR="0080504F" w:rsidRPr="00D3458A" w:rsidRDefault="0080504F" w:rsidP="0080504F">
            <w:pPr>
              <w:jc w:val="right"/>
              <w:rPr>
                <w:b/>
                <w:bCs/>
                <w:color w:val="000000"/>
                <w:sz w:val="22"/>
                <w:szCs w:val="22"/>
              </w:rPr>
            </w:pPr>
            <w:r w:rsidRPr="00BA57FE">
              <w:rPr>
                <w:b/>
                <w:bCs/>
                <w:color w:val="000000"/>
                <w:sz w:val="22"/>
                <w:szCs w:val="22"/>
              </w:rPr>
              <w:t>11.200,00</w:t>
            </w:r>
          </w:p>
        </w:tc>
      </w:tr>
      <w:tr w:rsidR="00BA57FE" w:rsidRPr="00D3458A" w:rsidTr="00D862A9">
        <w:trPr>
          <w:trHeight w:val="300"/>
        </w:trPr>
        <w:tc>
          <w:tcPr>
            <w:tcW w:w="5421" w:type="dxa"/>
            <w:tcBorders>
              <w:top w:val="nil"/>
              <w:left w:val="single" w:sz="12" w:space="0" w:color="auto"/>
              <w:bottom w:val="nil"/>
              <w:right w:val="single" w:sz="12" w:space="0" w:color="auto"/>
            </w:tcBorders>
            <w:shd w:val="clear" w:color="auto" w:fill="auto"/>
            <w:vAlign w:val="center"/>
            <w:hideMark/>
          </w:tcPr>
          <w:p w:rsidR="00BA57FE" w:rsidRPr="00D3458A" w:rsidRDefault="00BA57FE" w:rsidP="00BA57FE">
            <w:pPr>
              <w:rPr>
                <w:b/>
                <w:bCs/>
                <w:color w:val="000000"/>
                <w:sz w:val="22"/>
                <w:szCs w:val="22"/>
              </w:rPr>
            </w:pPr>
            <w:r w:rsidRPr="00D3458A">
              <w:rPr>
                <w:b/>
                <w:bCs/>
                <w:color w:val="000000"/>
                <w:sz w:val="22"/>
                <w:szCs w:val="22"/>
              </w:rPr>
              <w:t>Υπόλοιπα απαιτήσεων τέλους χρήσεως</w:t>
            </w:r>
          </w:p>
        </w:tc>
        <w:tc>
          <w:tcPr>
            <w:tcW w:w="2126" w:type="dxa"/>
            <w:tcBorders>
              <w:top w:val="nil"/>
              <w:left w:val="nil"/>
              <w:right w:val="single" w:sz="12" w:space="0" w:color="auto"/>
            </w:tcBorders>
            <w:shd w:val="clear" w:color="auto" w:fill="auto"/>
            <w:vAlign w:val="center"/>
            <w:hideMark/>
          </w:tcPr>
          <w:p w:rsidR="00BA57FE" w:rsidRPr="00D3458A" w:rsidRDefault="00BA57FE" w:rsidP="00BA57FE">
            <w:pPr>
              <w:jc w:val="right"/>
              <w:rPr>
                <w:b/>
                <w:bCs/>
                <w:color w:val="000000"/>
                <w:sz w:val="22"/>
                <w:szCs w:val="22"/>
              </w:rPr>
            </w:pPr>
            <w:r w:rsidRPr="00D3458A">
              <w:rPr>
                <w:b/>
                <w:bCs/>
                <w:color w:val="000000"/>
                <w:sz w:val="22"/>
                <w:szCs w:val="22"/>
              </w:rPr>
              <w:t> </w:t>
            </w:r>
          </w:p>
        </w:tc>
        <w:tc>
          <w:tcPr>
            <w:tcW w:w="2107" w:type="dxa"/>
            <w:tcBorders>
              <w:top w:val="nil"/>
              <w:left w:val="nil"/>
              <w:right w:val="single" w:sz="12" w:space="0" w:color="auto"/>
            </w:tcBorders>
            <w:shd w:val="clear" w:color="auto" w:fill="auto"/>
            <w:vAlign w:val="center"/>
            <w:hideMark/>
          </w:tcPr>
          <w:p w:rsidR="00BA57FE" w:rsidRPr="00D3458A" w:rsidRDefault="00BA57FE" w:rsidP="00BA57FE">
            <w:pPr>
              <w:jc w:val="right"/>
              <w:rPr>
                <w:b/>
                <w:bCs/>
                <w:color w:val="000000"/>
                <w:sz w:val="22"/>
                <w:szCs w:val="22"/>
              </w:rPr>
            </w:pPr>
            <w:r w:rsidRPr="00D3458A">
              <w:rPr>
                <w:b/>
                <w:bCs/>
                <w:color w:val="000000"/>
                <w:sz w:val="22"/>
                <w:szCs w:val="22"/>
              </w:rPr>
              <w:t> </w:t>
            </w:r>
          </w:p>
        </w:tc>
      </w:tr>
      <w:tr w:rsidR="00BA57FE" w:rsidRPr="00D3458A" w:rsidTr="00D862A9">
        <w:trPr>
          <w:trHeight w:val="300"/>
        </w:trPr>
        <w:tc>
          <w:tcPr>
            <w:tcW w:w="5421" w:type="dxa"/>
            <w:tcBorders>
              <w:top w:val="nil"/>
              <w:left w:val="single" w:sz="12" w:space="0" w:color="auto"/>
              <w:bottom w:val="nil"/>
              <w:right w:val="single" w:sz="12" w:space="0" w:color="auto"/>
            </w:tcBorders>
            <w:shd w:val="clear" w:color="auto" w:fill="auto"/>
            <w:vAlign w:val="center"/>
            <w:hideMark/>
          </w:tcPr>
          <w:p w:rsidR="00BA57FE" w:rsidRPr="00D3458A" w:rsidRDefault="00BA57FE" w:rsidP="00BA57FE">
            <w:pPr>
              <w:rPr>
                <w:color w:val="000000"/>
                <w:sz w:val="22"/>
                <w:szCs w:val="22"/>
              </w:rPr>
            </w:pPr>
            <w:r w:rsidRPr="00D3458A">
              <w:rPr>
                <w:color w:val="000000"/>
                <w:sz w:val="22"/>
                <w:szCs w:val="22"/>
              </w:rPr>
              <w:t xml:space="preserve">Απαιτήσεις από πωλήσεις αγαθών και υπηρεσιών  </w:t>
            </w:r>
          </w:p>
        </w:tc>
        <w:tc>
          <w:tcPr>
            <w:tcW w:w="2126" w:type="dxa"/>
            <w:tcBorders>
              <w:top w:val="nil"/>
              <w:left w:val="nil"/>
              <w:bottom w:val="single" w:sz="4" w:space="0" w:color="auto"/>
              <w:right w:val="single" w:sz="12" w:space="0" w:color="auto"/>
            </w:tcBorders>
            <w:shd w:val="clear" w:color="auto" w:fill="auto"/>
            <w:vAlign w:val="center"/>
            <w:hideMark/>
          </w:tcPr>
          <w:p w:rsidR="00BA57FE" w:rsidRPr="00D3458A" w:rsidRDefault="00BA57FE" w:rsidP="00BA57FE">
            <w:pPr>
              <w:jc w:val="right"/>
              <w:rPr>
                <w:color w:val="000000"/>
                <w:sz w:val="22"/>
                <w:szCs w:val="22"/>
              </w:rPr>
            </w:pPr>
            <w:r w:rsidRPr="00D3458A">
              <w:rPr>
                <w:color w:val="000000"/>
                <w:sz w:val="22"/>
                <w:szCs w:val="22"/>
              </w:rPr>
              <w:t>0,00</w:t>
            </w:r>
          </w:p>
        </w:tc>
        <w:tc>
          <w:tcPr>
            <w:tcW w:w="2107" w:type="dxa"/>
            <w:tcBorders>
              <w:top w:val="nil"/>
              <w:left w:val="nil"/>
              <w:bottom w:val="single" w:sz="4" w:space="0" w:color="auto"/>
              <w:right w:val="single" w:sz="12" w:space="0" w:color="auto"/>
            </w:tcBorders>
            <w:shd w:val="clear" w:color="auto" w:fill="auto"/>
            <w:vAlign w:val="center"/>
            <w:hideMark/>
          </w:tcPr>
          <w:p w:rsidR="00BA57FE" w:rsidRPr="00D3458A" w:rsidRDefault="00BA57FE" w:rsidP="00BA57FE">
            <w:pPr>
              <w:jc w:val="right"/>
              <w:rPr>
                <w:color w:val="000000"/>
                <w:sz w:val="22"/>
                <w:szCs w:val="22"/>
              </w:rPr>
            </w:pPr>
            <w:r w:rsidRPr="00D3458A">
              <w:rPr>
                <w:color w:val="000000"/>
                <w:sz w:val="22"/>
                <w:szCs w:val="22"/>
              </w:rPr>
              <w:t>0,00</w:t>
            </w:r>
          </w:p>
        </w:tc>
      </w:tr>
      <w:tr w:rsidR="00BA57FE" w:rsidRPr="00D3458A" w:rsidTr="00D862A9">
        <w:trPr>
          <w:trHeight w:val="315"/>
        </w:trPr>
        <w:tc>
          <w:tcPr>
            <w:tcW w:w="5421" w:type="dxa"/>
            <w:tcBorders>
              <w:top w:val="nil"/>
              <w:left w:val="single" w:sz="12" w:space="0" w:color="auto"/>
              <w:bottom w:val="nil"/>
              <w:right w:val="single" w:sz="12" w:space="0" w:color="auto"/>
            </w:tcBorders>
            <w:shd w:val="clear" w:color="auto" w:fill="auto"/>
            <w:vAlign w:val="center"/>
            <w:hideMark/>
          </w:tcPr>
          <w:p w:rsidR="00BA57FE" w:rsidRPr="00D3458A" w:rsidRDefault="00BA57FE" w:rsidP="00BA57FE">
            <w:pPr>
              <w:rPr>
                <w:color w:val="000000"/>
                <w:sz w:val="22"/>
                <w:szCs w:val="22"/>
              </w:rPr>
            </w:pPr>
            <w:r w:rsidRPr="00D3458A">
              <w:rPr>
                <w:color w:val="000000"/>
                <w:sz w:val="22"/>
                <w:szCs w:val="22"/>
              </w:rPr>
              <w:t> </w:t>
            </w:r>
          </w:p>
        </w:tc>
        <w:tc>
          <w:tcPr>
            <w:tcW w:w="2126" w:type="dxa"/>
            <w:tcBorders>
              <w:top w:val="single" w:sz="4" w:space="0" w:color="auto"/>
              <w:left w:val="nil"/>
              <w:bottom w:val="double" w:sz="6" w:space="0" w:color="auto"/>
              <w:right w:val="single" w:sz="12" w:space="0" w:color="auto"/>
            </w:tcBorders>
            <w:shd w:val="clear" w:color="auto" w:fill="auto"/>
            <w:vAlign w:val="center"/>
            <w:hideMark/>
          </w:tcPr>
          <w:p w:rsidR="00BA57FE" w:rsidRPr="00D3458A" w:rsidRDefault="00BA57FE" w:rsidP="00BA57FE">
            <w:pPr>
              <w:jc w:val="right"/>
              <w:rPr>
                <w:b/>
                <w:bCs/>
                <w:color w:val="000000"/>
                <w:sz w:val="22"/>
                <w:szCs w:val="22"/>
              </w:rPr>
            </w:pPr>
            <w:r w:rsidRPr="00D3458A">
              <w:rPr>
                <w:b/>
                <w:bCs/>
                <w:color w:val="000000"/>
                <w:sz w:val="22"/>
                <w:szCs w:val="22"/>
              </w:rPr>
              <w:t>0,00</w:t>
            </w:r>
          </w:p>
        </w:tc>
        <w:tc>
          <w:tcPr>
            <w:tcW w:w="2107" w:type="dxa"/>
            <w:tcBorders>
              <w:top w:val="single" w:sz="4" w:space="0" w:color="auto"/>
              <w:left w:val="nil"/>
              <w:bottom w:val="double" w:sz="6" w:space="0" w:color="auto"/>
              <w:right w:val="single" w:sz="12" w:space="0" w:color="auto"/>
            </w:tcBorders>
            <w:shd w:val="clear" w:color="auto" w:fill="auto"/>
            <w:vAlign w:val="center"/>
            <w:hideMark/>
          </w:tcPr>
          <w:p w:rsidR="00BA57FE" w:rsidRPr="00D3458A" w:rsidRDefault="00BA57FE" w:rsidP="00BA57FE">
            <w:pPr>
              <w:jc w:val="right"/>
              <w:rPr>
                <w:b/>
                <w:bCs/>
                <w:color w:val="000000"/>
                <w:sz w:val="22"/>
                <w:szCs w:val="22"/>
              </w:rPr>
            </w:pPr>
            <w:r w:rsidRPr="00D3458A">
              <w:rPr>
                <w:b/>
                <w:bCs/>
                <w:color w:val="000000"/>
                <w:sz w:val="22"/>
                <w:szCs w:val="22"/>
              </w:rPr>
              <w:t>0,00</w:t>
            </w:r>
          </w:p>
        </w:tc>
      </w:tr>
      <w:tr w:rsidR="00BA57FE" w:rsidRPr="00D3458A" w:rsidTr="00D862A9">
        <w:trPr>
          <w:trHeight w:val="315"/>
        </w:trPr>
        <w:tc>
          <w:tcPr>
            <w:tcW w:w="5421" w:type="dxa"/>
            <w:tcBorders>
              <w:top w:val="nil"/>
              <w:left w:val="single" w:sz="12" w:space="0" w:color="auto"/>
              <w:bottom w:val="nil"/>
              <w:right w:val="single" w:sz="12" w:space="0" w:color="auto"/>
            </w:tcBorders>
            <w:shd w:val="clear" w:color="auto" w:fill="auto"/>
            <w:vAlign w:val="center"/>
            <w:hideMark/>
          </w:tcPr>
          <w:p w:rsidR="00BA57FE" w:rsidRPr="00D3458A" w:rsidRDefault="00BA57FE" w:rsidP="00BA57FE">
            <w:pPr>
              <w:rPr>
                <w:b/>
                <w:bCs/>
                <w:color w:val="000000"/>
                <w:sz w:val="22"/>
                <w:szCs w:val="22"/>
              </w:rPr>
            </w:pPr>
            <w:r w:rsidRPr="00D3458A">
              <w:rPr>
                <w:b/>
                <w:bCs/>
                <w:color w:val="000000"/>
                <w:sz w:val="22"/>
                <w:szCs w:val="22"/>
              </w:rPr>
              <w:t>Υπόλοιπα υποχρεώσεων τέλους χρήσεως</w:t>
            </w:r>
          </w:p>
        </w:tc>
        <w:tc>
          <w:tcPr>
            <w:tcW w:w="2126" w:type="dxa"/>
            <w:tcBorders>
              <w:top w:val="nil"/>
              <w:left w:val="nil"/>
              <w:bottom w:val="nil"/>
              <w:right w:val="single" w:sz="12" w:space="0" w:color="auto"/>
            </w:tcBorders>
            <w:shd w:val="clear" w:color="auto" w:fill="auto"/>
            <w:vAlign w:val="center"/>
            <w:hideMark/>
          </w:tcPr>
          <w:p w:rsidR="00BA57FE" w:rsidRPr="00D3458A" w:rsidRDefault="00BA57FE" w:rsidP="00BA57FE">
            <w:pPr>
              <w:jc w:val="right"/>
              <w:rPr>
                <w:color w:val="000000"/>
                <w:sz w:val="22"/>
                <w:szCs w:val="22"/>
              </w:rPr>
            </w:pPr>
            <w:r w:rsidRPr="00D3458A">
              <w:rPr>
                <w:color w:val="000000"/>
                <w:sz w:val="22"/>
                <w:szCs w:val="22"/>
              </w:rPr>
              <w:t> </w:t>
            </w:r>
          </w:p>
        </w:tc>
        <w:tc>
          <w:tcPr>
            <w:tcW w:w="2107" w:type="dxa"/>
            <w:tcBorders>
              <w:top w:val="nil"/>
              <w:left w:val="nil"/>
              <w:bottom w:val="nil"/>
              <w:right w:val="single" w:sz="12" w:space="0" w:color="auto"/>
            </w:tcBorders>
            <w:shd w:val="clear" w:color="auto" w:fill="auto"/>
            <w:vAlign w:val="center"/>
            <w:hideMark/>
          </w:tcPr>
          <w:p w:rsidR="00BA57FE" w:rsidRPr="00D3458A" w:rsidRDefault="00BA57FE" w:rsidP="00BA57FE">
            <w:pPr>
              <w:jc w:val="right"/>
              <w:rPr>
                <w:color w:val="000000"/>
                <w:sz w:val="22"/>
                <w:szCs w:val="22"/>
              </w:rPr>
            </w:pPr>
            <w:r w:rsidRPr="00D3458A">
              <w:rPr>
                <w:color w:val="000000"/>
                <w:sz w:val="22"/>
                <w:szCs w:val="22"/>
              </w:rPr>
              <w:t> </w:t>
            </w:r>
          </w:p>
        </w:tc>
      </w:tr>
      <w:tr w:rsidR="00BA57FE" w:rsidRPr="00D3458A" w:rsidTr="00D862A9">
        <w:trPr>
          <w:trHeight w:val="315"/>
        </w:trPr>
        <w:tc>
          <w:tcPr>
            <w:tcW w:w="5421" w:type="dxa"/>
            <w:tcBorders>
              <w:top w:val="nil"/>
              <w:left w:val="single" w:sz="12" w:space="0" w:color="auto"/>
              <w:bottom w:val="nil"/>
              <w:right w:val="single" w:sz="12" w:space="0" w:color="auto"/>
            </w:tcBorders>
            <w:shd w:val="clear" w:color="auto" w:fill="auto"/>
            <w:vAlign w:val="center"/>
            <w:hideMark/>
          </w:tcPr>
          <w:p w:rsidR="00BA57FE" w:rsidRPr="00D3458A" w:rsidRDefault="00BA57FE" w:rsidP="00BA57FE">
            <w:pPr>
              <w:rPr>
                <w:color w:val="000000"/>
                <w:sz w:val="22"/>
                <w:szCs w:val="22"/>
              </w:rPr>
            </w:pPr>
            <w:r w:rsidRPr="00D3458A">
              <w:rPr>
                <w:color w:val="000000"/>
                <w:sz w:val="22"/>
                <w:szCs w:val="22"/>
              </w:rPr>
              <w:t>Λοιπές υποχρεώσεις</w:t>
            </w:r>
          </w:p>
        </w:tc>
        <w:tc>
          <w:tcPr>
            <w:tcW w:w="2126" w:type="dxa"/>
            <w:tcBorders>
              <w:top w:val="nil"/>
              <w:left w:val="nil"/>
              <w:bottom w:val="single" w:sz="8" w:space="0" w:color="auto"/>
              <w:right w:val="single" w:sz="12" w:space="0" w:color="auto"/>
            </w:tcBorders>
            <w:shd w:val="clear" w:color="auto" w:fill="auto"/>
            <w:vAlign w:val="center"/>
            <w:hideMark/>
          </w:tcPr>
          <w:p w:rsidR="00BA57FE" w:rsidRPr="00D3458A" w:rsidRDefault="00BA57FE" w:rsidP="00BA57FE">
            <w:pPr>
              <w:jc w:val="right"/>
              <w:rPr>
                <w:color w:val="000000"/>
                <w:sz w:val="22"/>
                <w:szCs w:val="22"/>
              </w:rPr>
            </w:pPr>
            <w:r w:rsidRPr="00D3458A">
              <w:rPr>
                <w:color w:val="000000"/>
                <w:sz w:val="22"/>
                <w:szCs w:val="22"/>
              </w:rPr>
              <w:t>602.675,00</w:t>
            </w:r>
          </w:p>
        </w:tc>
        <w:tc>
          <w:tcPr>
            <w:tcW w:w="2107" w:type="dxa"/>
            <w:tcBorders>
              <w:top w:val="nil"/>
              <w:left w:val="nil"/>
              <w:bottom w:val="single" w:sz="8" w:space="0" w:color="auto"/>
              <w:right w:val="single" w:sz="12" w:space="0" w:color="auto"/>
            </w:tcBorders>
            <w:shd w:val="clear" w:color="auto" w:fill="auto"/>
            <w:vAlign w:val="center"/>
            <w:hideMark/>
          </w:tcPr>
          <w:p w:rsidR="00BA57FE" w:rsidRPr="00D3458A" w:rsidRDefault="00BA57FE" w:rsidP="00BA57FE">
            <w:pPr>
              <w:jc w:val="right"/>
              <w:rPr>
                <w:color w:val="000000"/>
                <w:sz w:val="22"/>
                <w:szCs w:val="22"/>
              </w:rPr>
            </w:pPr>
            <w:r w:rsidRPr="00D3458A">
              <w:rPr>
                <w:color w:val="000000"/>
                <w:sz w:val="22"/>
                <w:szCs w:val="22"/>
              </w:rPr>
              <w:t>602.675,00</w:t>
            </w:r>
          </w:p>
        </w:tc>
      </w:tr>
      <w:tr w:rsidR="00BA57FE" w:rsidRPr="00A131AE" w:rsidTr="00D862A9">
        <w:trPr>
          <w:trHeight w:val="315"/>
        </w:trPr>
        <w:tc>
          <w:tcPr>
            <w:tcW w:w="5421" w:type="dxa"/>
            <w:tcBorders>
              <w:top w:val="nil"/>
              <w:left w:val="single" w:sz="12" w:space="0" w:color="auto"/>
              <w:bottom w:val="single" w:sz="12" w:space="0" w:color="auto"/>
              <w:right w:val="single" w:sz="12" w:space="0" w:color="auto"/>
            </w:tcBorders>
            <w:shd w:val="clear" w:color="auto" w:fill="auto"/>
            <w:vAlign w:val="center"/>
            <w:hideMark/>
          </w:tcPr>
          <w:p w:rsidR="00BA57FE" w:rsidRPr="00D3458A" w:rsidRDefault="00BA57FE" w:rsidP="00BA57FE">
            <w:pPr>
              <w:rPr>
                <w:color w:val="000000"/>
                <w:sz w:val="22"/>
                <w:szCs w:val="22"/>
              </w:rPr>
            </w:pPr>
            <w:r w:rsidRPr="00D3458A">
              <w:rPr>
                <w:color w:val="000000"/>
                <w:sz w:val="22"/>
                <w:szCs w:val="22"/>
              </w:rPr>
              <w:t> </w:t>
            </w:r>
          </w:p>
        </w:tc>
        <w:tc>
          <w:tcPr>
            <w:tcW w:w="2126" w:type="dxa"/>
            <w:tcBorders>
              <w:top w:val="nil"/>
              <w:left w:val="nil"/>
              <w:bottom w:val="double" w:sz="6" w:space="0" w:color="auto"/>
              <w:right w:val="single" w:sz="12" w:space="0" w:color="auto"/>
            </w:tcBorders>
            <w:shd w:val="clear" w:color="auto" w:fill="auto"/>
            <w:vAlign w:val="center"/>
            <w:hideMark/>
          </w:tcPr>
          <w:p w:rsidR="00BA57FE" w:rsidRPr="00D3458A" w:rsidRDefault="00BA57FE" w:rsidP="00BA57FE">
            <w:pPr>
              <w:jc w:val="right"/>
              <w:rPr>
                <w:b/>
                <w:bCs/>
                <w:color w:val="000000"/>
                <w:sz w:val="22"/>
                <w:szCs w:val="22"/>
              </w:rPr>
            </w:pPr>
            <w:r w:rsidRPr="00D3458A">
              <w:rPr>
                <w:b/>
                <w:bCs/>
                <w:color w:val="000000"/>
                <w:sz w:val="22"/>
                <w:szCs w:val="22"/>
              </w:rPr>
              <w:t>602.675,00</w:t>
            </w:r>
          </w:p>
        </w:tc>
        <w:tc>
          <w:tcPr>
            <w:tcW w:w="2107" w:type="dxa"/>
            <w:tcBorders>
              <w:top w:val="nil"/>
              <w:left w:val="nil"/>
              <w:bottom w:val="double" w:sz="6" w:space="0" w:color="auto"/>
              <w:right w:val="single" w:sz="12" w:space="0" w:color="auto"/>
            </w:tcBorders>
            <w:shd w:val="clear" w:color="auto" w:fill="auto"/>
            <w:vAlign w:val="center"/>
            <w:hideMark/>
          </w:tcPr>
          <w:p w:rsidR="00BA57FE" w:rsidRPr="00D3458A" w:rsidRDefault="00BA57FE" w:rsidP="00BA57FE">
            <w:pPr>
              <w:jc w:val="right"/>
              <w:rPr>
                <w:b/>
                <w:bCs/>
                <w:color w:val="000000"/>
                <w:sz w:val="22"/>
                <w:szCs w:val="22"/>
              </w:rPr>
            </w:pPr>
            <w:r w:rsidRPr="00D3458A">
              <w:rPr>
                <w:b/>
                <w:bCs/>
                <w:color w:val="000000"/>
                <w:sz w:val="22"/>
                <w:szCs w:val="22"/>
              </w:rPr>
              <w:t>602.675,00</w:t>
            </w:r>
          </w:p>
        </w:tc>
      </w:tr>
    </w:tbl>
    <w:p w:rsidR="00F33C01" w:rsidRPr="00A131AE" w:rsidRDefault="00F33C01" w:rsidP="00064B23">
      <w:pPr>
        <w:pStyle w:val="a8"/>
        <w:rPr>
          <w:highlight w:val="yellow"/>
        </w:rPr>
      </w:pPr>
    </w:p>
    <w:p w:rsidR="00F33C01" w:rsidRPr="00A131AE" w:rsidRDefault="00F33C01" w:rsidP="003554D4">
      <w:pPr>
        <w:pStyle w:val="a8"/>
        <w:rPr>
          <w:highlight w:val="yellow"/>
        </w:rPr>
      </w:pPr>
    </w:p>
    <w:p w:rsidR="00F83FE4" w:rsidRPr="00D3458A" w:rsidRDefault="009E738C" w:rsidP="003554D4">
      <w:pPr>
        <w:pStyle w:val="1"/>
        <w:jc w:val="left"/>
      </w:pPr>
      <w:bookmarkStart w:id="67" w:name="_Toc488058557"/>
      <w:bookmarkStart w:id="68" w:name="_Toc15546018"/>
      <w:r w:rsidRPr="00D3458A">
        <w:rPr>
          <w:lang w:val="el-GR"/>
        </w:rPr>
        <w:t>25</w:t>
      </w:r>
      <w:r w:rsidR="00FF2F42" w:rsidRPr="00D3458A">
        <w:t>. Χ</w:t>
      </w:r>
      <w:r w:rsidR="00F83FE4" w:rsidRPr="00D3458A">
        <w:t>ρήση της επιλογής της παραγράφου 7 ή της παραγράφου 8 του άρθρου 16 του νόμου</w:t>
      </w:r>
      <w:bookmarkEnd w:id="67"/>
      <w:bookmarkEnd w:id="68"/>
    </w:p>
    <w:p w:rsidR="00064B23" w:rsidRPr="00D3458A" w:rsidRDefault="00064B23" w:rsidP="003554D4">
      <w:pPr>
        <w:rPr>
          <w:sz w:val="16"/>
          <w:szCs w:val="16"/>
          <w:lang w:eastAsia="en-US"/>
        </w:rPr>
      </w:pPr>
    </w:p>
    <w:p w:rsidR="00A0392A" w:rsidRPr="00D3458A" w:rsidRDefault="00A0392A" w:rsidP="003554D4">
      <w:pPr>
        <w:shd w:val="clear" w:color="auto" w:fill="FFFFFF"/>
        <w:spacing w:after="200"/>
        <w:ind w:left="5" w:right="14" w:firstLine="562"/>
        <w:jc w:val="both"/>
        <w:rPr>
          <w:sz w:val="22"/>
          <w:szCs w:val="22"/>
        </w:rPr>
      </w:pPr>
      <w:r w:rsidRPr="00D3458A">
        <w:rPr>
          <w:sz w:val="22"/>
          <w:szCs w:val="22"/>
        </w:rPr>
        <w:t>Η Ε</w:t>
      </w:r>
      <w:r w:rsidR="00FF2F42" w:rsidRPr="00D3458A">
        <w:rPr>
          <w:sz w:val="22"/>
          <w:szCs w:val="22"/>
        </w:rPr>
        <w:t>ταιρεία ανήκει στην κατη</w:t>
      </w:r>
      <w:r w:rsidR="001832CD" w:rsidRPr="00D3458A">
        <w:rPr>
          <w:sz w:val="22"/>
          <w:szCs w:val="22"/>
        </w:rPr>
        <w:t>γορία των πολύ μικρών οντοτήτων, ωστόσο δεν</w:t>
      </w:r>
      <w:r w:rsidR="00FF2F42" w:rsidRPr="00D3458A">
        <w:rPr>
          <w:sz w:val="22"/>
          <w:szCs w:val="22"/>
        </w:rPr>
        <w:t xml:space="preserve"> επ</w:t>
      </w:r>
      <w:r w:rsidRPr="00D3458A">
        <w:rPr>
          <w:sz w:val="22"/>
          <w:szCs w:val="22"/>
        </w:rPr>
        <w:t>έλεξε να καταρτίσει συνοπτικό ισολογισμό και συνοπτική κατάσταση αποτελεσμάτων.</w:t>
      </w:r>
    </w:p>
    <w:p w:rsidR="003506D2" w:rsidRPr="00D3458A" w:rsidRDefault="003506D2" w:rsidP="003554D4">
      <w:pPr>
        <w:shd w:val="clear" w:color="auto" w:fill="FFFFFF"/>
        <w:spacing w:after="200"/>
        <w:ind w:left="5" w:right="14" w:firstLine="562"/>
        <w:jc w:val="both"/>
        <w:rPr>
          <w:sz w:val="22"/>
          <w:szCs w:val="22"/>
        </w:rPr>
      </w:pPr>
    </w:p>
    <w:p w:rsidR="001F2B44" w:rsidRPr="00D3458A" w:rsidRDefault="009E738C" w:rsidP="003554D4">
      <w:pPr>
        <w:pStyle w:val="1"/>
        <w:jc w:val="left"/>
      </w:pPr>
      <w:bookmarkStart w:id="69" w:name="_Toc488058558"/>
      <w:bookmarkStart w:id="70" w:name="_Toc15546019"/>
      <w:r w:rsidRPr="00D3458A">
        <w:rPr>
          <w:lang w:val="el-GR"/>
        </w:rPr>
        <w:t>26</w:t>
      </w:r>
      <w:r w:rsidR="001F2B44" w:rsidRPr="00D3458A">
        <w:t>. Διακανονισμοί (συμφωνίες) που δεν εμφανίζονται στον ισολογισμό με σημαντικές θετικές ή αρνητικές επιπτώσεις επί της εταιρείας</w:t>
      </w:r>
      <w:bookmarkEnd w:id="69"/>
      <w:bookmarkEnd w:id="70"/>
    </w:p>
    <w:p w:rsidR="00064B23" w:rsidRPr="00D3458A" w:rsidRDefault="00064B23" w:rsidP="003554D4">
      <w:pPr>
        <w:rPr>
          <w:sz w:val="16"/>
          <w:szCs w:val="16"/>
          <w:lang w:eastAsia="en-US"/>
        </w:rPr>
      </w:pPr>
    </w:p>
    <w:p w:rsidR="001F2B44" w:rsidRPr="00D3458A" w:rsidRDefault="001F2B44" w:rsidP="003554D4">
      <w:pPr>
        <w:shd w:val="clear" w:color="auto" w:fill="FFFFFF"/>
        <w:spacing w:after="200"/>
        <w:ind w:left="5" w:right="14" w:firstLine="562"/>
        <w:jc w:val="both"/>
        <w:rPr>
          <w:sz w:val="22"/>
          <w:szCs w:val="22"/>
        </w:rPr>
      </w:pPr>
      <w:r w:rsidRPr="00D3458A">
        <w:rPr>
          <w:sz w:val="22"/>
          <w:szCs w:val="22"/>
        </w:rPr>
        <w:t xml:space="preserve">Δεν υφίστανται τέτοιοι διακανονισμοί. </w:t>
      </w:r>
    </w:p>
    <w:p w:rsidR="003506D2" w:rsidRPr="00A131AE" w:rsidRDefault="003506D2" w:rsidP="003554D4">
      <w:pPr>
        <w:shd w:val="clear" w:color="auto" w:fill="FFFFFF"/>
        <w:spacing w:after="200"/>
        <w:ind w:left="5" w:right="14" w:firstLine="562"/>
        <w:jc w:val="both"/>
        <w:rPr>
          <w:sz w:val="22"/>
          <w:szCs w:val="22"/>
          <w:highlight w:val="yellow"/>
        </w:rPr>
      </w:pPr>
    </w:p>
    <w:p w:rsidR="001F2B44" w:rsidRPr="00D3458A" w:rsidRDefault="009E738C" w:rsidP="003554D4">
      <w:pPr>
        <w:pStyle w:val="1"/>
        <w:jc w:val="left"/>
      </w:pPr>
      <w:bookmarkStart w:id="71" w:name="_Toc488058559"/>
      <w:bookmarkStart w:id="72" w:name="_Toc15546020"/>
      <w:r w:rsidRPr="00D3458A">
        <w:rPr>
          <w:lang w:val="el-GR"/>
        </w:rPr>
        <w:t>27</w:t>
      </w:r>
      <w:r w:rsidR="001F2B44" w:rsidRPr="00D3458A">
        <w:t>. Χρηματοοικονομικές δεσμεύσεις, εγγυήσεις, και ενδεχόμενες υποχρεώσεις που δεν εμφανίζονται στον ισολογισμό</w:t>
      </w:r>
      <w:bookmarkEnd w:id="71"/>
      <w:bookmarkEnd w:id="72"/>
    </w:p>
    <w:p w:rsidR="00064B23" w:rsidRPr="00D3458A" w:rsidRDefault="00064B23" w:rsidP="003554D4">
      <w:pPr>
        <w:rPr>
          <w:sz w:val="16"/>
          <w:szCs w:val="16"/>
          <w:lang w:eastAsia="en-US"/>
        </w:rPr>
      </w:pPr>
    </w:p>
    <w:p w:rsidR="001F2B44" w:rsidRPr="00D3458A" w:rsidRDefault="001F2B44" w:rsidP="003554D4">
      <w:pPr>
        <w:shd w:val="clear" w:color="auto" w:fill="FFFFFF"/>
        <w:spacing w:after="200"/>
        <w:ind w:left="5" w:right="14" w:firstLine="562"/>
        <w:jc w:val="both"/>
        <w:rPr>
          <w:b/>
          <w:sz w:val="22"/>
          <w:szCs w:val="22"/>
        </w:rPr>
      </w:pPr>
      <w:r w:rsidRPr="00D3458A">
        <w:rPr>
          <w:b/>
          <w:sz w:val="22"/>
          <w:szCs w:val="22"/>
        </w:rPr>
        <w:t>α) Χρηματοοικονομικές δεσμεύσεις</w:t>
      </w:r>
    </w:p>
    <w:p w:rsidR="001F2B44" w:rsidRPr="00D3458A" w:rsidRDefault="001F2B44" w:rsidP="003554D4">
      <w:pPr>
        <w:shd w:val="clear" w:color="auto" w:fill="FFFFFF"/>
        <w:spacing w:after="200"/>
        <w:ind w:left="5" w:right="14" w:firstLine="562"/>
        <w:jc w:val="both"/>
        <w:rPr>
          <w:sz w:val="22"/>
          <w:szCs w:val="22"/>
        </w:rPr>
      </w:pPr>
      <w:r w:rsidRPr="00D3458A">
        <w:rPr>
          <w:sz w:val="22"/>
          <w:szCs w:val="22"/>
        </w:rPr>
        <w:t>Η Εταιρεία</w:t>
      </w:r>
      <w:r w:rsidR="00EA51F2" w:rsidRPr="00D3458A">
        <w:rPr>
          <w:sz w:val="22"/>
          <w:szCs w:val="22"/>
        </w:rPr>
        <w:t xml:space="preserve"> δεν</w:t>
      </w:r>
      <w:r w:rsidRPr="00D3458A">
        <w:rPr>
          <w:sz w:val="22"/>
          <w:szCs w:val="22"/>
        </w:rPr>
        <w:t xml:space="preserve"> έχει συνάψει μη ακυρώσιμες συμβάσεις λειτουργικών μισθώσεων </w:t>
      </w:r>
      <w:r w:rsidR="00B21CDE" w:rsidRPr="00D3458A">
        <w:rPr>
          <w:sz w:val="22"/>
          <w:szCs w:val="22"/>
        </w:rPr>
        <w:t>διάρκειας μεγαλύτερης του ενός έτους</w:t>
      </w:r>
      <w:r w:rsidRPr="00D3458A">
        <w:rPr>
          <w:sz w:val="22"/>
          <w:szCs w:val="22"/>
        </w:rPr>
        <w:t xml:space="preserve">. </w:t>
      </w:r>
    </w:p>
    <w:p w:rsidR="001F2B44" w:rsidRPr="00D3458A" w:rsidRDefault="001F2B44" w:rsidP="00B82D0D">
      <w:pPr>
        <w:shd w:val="clear" w:color="auto" w:fill="FFFFFF"/>
        <w:spacing w:after="200" w:line="276" w:lineRule="auto"/>
        <w:ind w:left="5" w:right="14" w:firstLine="562"/>
        <w:jc w:val="both"/>
        <w:rPr>
          <w:b/>
          <w:sz w:val="22"/>
          <w:szCs w:val="22"/>
        </w:rPr>
      </w:pPr>
      <w:r w:rsidRPr="00D3458A">
        <w:rPr>
          <w:b/>
          <w:sz w:val="22"/>
          <w:szCs w:val="22"/>
        </w:rPr>
        <w:t xml:space="preserve">β) Εγγυήσεις </w:t>
      </w:r>
    </w:p>
    <w:p w:rsidR="001F2B44" w:rsidRPr="00A131AE" w:rsidRDefault="001F2B44" w:rsidP="00BA57FE">
      <w:pPr>
        <w:shd w:val="clear" w:color="auto" w:fill="FFFFFF"/>
        <w:spacing w:after="200" w:line="276" w:lineRule="auto"/>
        <w:ind w:left="5" w:right="14" w:firstLine="562"/>
        <w:jc w:val="both"/>
        <w:rPr>
          <w:highlight w:val="yellow"/>
        </w:rPr>
      </w:pPr>
      <w:r w:rsidRPr="00D3458A">
        <w:rPr>
          <w:sz w:val="22"/>
          <w:szCs w:val="22"/>
        </w:rPr>
        <w:t xml:space="preserve">Η Εταιρεία </w:t>
      </w:r>
      <w:r w:rsidR="00BA57FE">
        <w:rPr>
          <w:sz w:val="22"/>
          <w:szCs w:val="22"/>
        </w:rPr>
        <w:t xml:space="preserve">δεν </w:t>
      </w:r>
      <w:r w:rsidRPr="00D3458A">
        <w:rPr>
          <w:sz w:val="22"/>
          <w:szCs w:val="22"/>
        </w:rPr>
        <w:t>έχει χορηγήσει εγγυητικές επιστολές</w:t>
      </w:r>
      <w:r w:rsidR="00BA57FE">
        <w:rPr>
          <w:sz w:val="22"/>
          <w:szCs w:val="22"/>
        </w:rPr>
        <w:t>.</w:t>
      </w:r>
    </w:p>
    <w:p w:rsidR="001F2B44" w:rsidRPr="00BF22ED" w:rsidRDefault="001F2B44" w:rsidP="00B82D0D">
      <w:pPr>
        <w:shd w:val="clear" w:color="auto" w:fill="FFFFFF"/>
        <w:spacing w:after="200" w:line="276" w:lineRule="auto"/>
        <w:ind w:left="5" w:right="14" w:firstLine="562"/>
        <w:jc w:val="both"/>
        <w:rPr>
          <w:b/>
          <w:sz w:val="22"/>
          <w:szCs w:val="22"/>
        </w:rPr>
      </w:pPr>
      <w:r w:rsidRPr="00BF22ED">
        <w:rPr>
          <w:b/>
          <w:sz w:val="22"/>
          <w:szCs w:val="22"/>
        </w:rPr>
        <w:t xml:space="preserve">γ) Ενδεχόμενες υποχρεώσεις </w:t>
      </w:r>
    </w:p>
    <w:p w:rsidR="00190591" w:rsidRPr="00BF22ED" w:rsidRDefault="00E71A9C" w:rsidP="00190591">
      <w:pPr>
        <w:shd w:val="clear" w:color="auto" w:fill="FFFFFF"/>
        <w:spacing w:after="200" w:line="276" w:lineRule="auto"/>
        <w:ind w:left="5" w:right="14" w:firstLine="562"/>
        <w:jc w:val="both"/>
        <w:rPr>
          <w:sz w:val="22"/>
          <w:szCs w:val="22"/>
        </w:rPr>
      </w:pPr>
      <w:r w:rsidRPr="00E71A9C">
        <w:rPr>
          <w:sz w:val="22"/>
          <w:szCs w:val="22"/>
        </w:rPr>
        <w:t>Οι φορολογικές υποχρεώσεις της εταιρείας δεν έχουν εξεταστεί από τις φορολο</w:t>
      </w:r>
      <w:r w:rsidR="00546F3F">
        <w:rPr>
          <w:sz w:val="22"/>
          <w:szCs w:val="22"/>
        </w:rPr>
        <w:t>γικές αρχές για τις χρήσεις 2015</w:t>
      </w:r>
      <w:r w:rsidR="0080504F">
        <w:rPr>
          <w:sz w:val="22"/>
          <w:szCs w:val="22"/>
        </w:rPr>
        <w:t xml:space="preserve"> έως και 2021</w:t>
      </w:r>
      <w:r w:rsidRPr="00E71A9C">
        <w:rPr>
          <w:sz w:val="22"/>
          <w:szCs w:val="22"/>
        </w:rPr>
        <w:t xml:space="preserve">. Ως εκ τούτου τα φορολογικά αποτελέσματα των χρήσεων αυτών δεν έχουν </w:t>
      </w:r>
      <w:r w:rsidRPr="00E71A9C">
        <w:rPr>
          <w:sz w:val="22"/>
          <w:szCs w:val="22"/>
        </w:rPr>
        <w:lastRenderedPageBreak/>
        <w:t>καταστεί οριστικά. Η εταιρεία δεν έχει προβεί σε εκτίμηση των πρόσθετων φόρων και των προσαυξήσεων που πιθανόν καταλογιστούν σε μελλοντικό φορολογικό έλεγχο και δεν έχει σχηματίσει σχετική πρόβλεψη για αυτή την ενδεχόμενη υποχρέωση.</w:t>
      </w:r>
    </w:p>
    <w:p w:rsidR="00190591" w:rsidRPr="00A131AE" w:rsidRDefault="00190591" w:rsidP="00603769">
      <w:pPr>
        <w:shd w:val="clear" w:color="auto" w:fill="FFFFFF"/>
        <w:spacing w:after="200" w:line="276" w:lineRule="auto"/>
        <w:ind w:left="5" w:right="14" w:firstLine="562"/>
        <w:jc w:val="both"/>
        <w:rPr>
          <w:sz w:val="22"/>
          <w:szCs w:val="22"/>
          <w:highlight w:val="yellow"/>
        </w:rPr>
      </w:pPr>
    </w:p>
    <w:p w:rsidR="005849EE" w:rsidRPr="00D3458A" w:rsidRDefault="009E738C" w:rsidP="005849EE">
      <w:pPr>
        <w:pStyle w:val="1"/>
        <w:jc w:val="left"/>
      </w:pPr>
      <w:bookmarkStart w:id="73" w:name="_Toc488058560"/>
      <w:bookmarkStart w:id="74" w:name="_Toc15546021"/>
      <w:r w:rsidRPr="00D3458A">
        <w:rPr>
          <w:lang w:val="el-GR"/>
        </w:rPr>
        <w:t>28</w:t>
      </w:r>
      <w:r w:rsidR="005849EE" w:rsidRPr="00D3458A">
        <w:t>. Γεγονότα μετά την ημερομηνία του ισολογισμού</w:t>
      </w:r>
      <w:bookmarkEnd w:id="73"/>
      <w:bookmarkEnd w:id="74"/>
    </w:p>
    <w:p w:rsidR="005849EE" w:rsidRPr="00D3458A" w:rsidRDefault="005849EE" w:rsidP="005849EE">
      <w:pPr>
        <w:rPr>
          <w:sz w:val="16"/>
          <w:szCs w:val="16"/>
          <w:lang w:eastAsia="en-US"/>
        </w:rPr>
      </w:pPr>
    </w:p>
    <w:p w:rsidR="00D748D1" w:rsidRPr="00D748D1" w:rsidRDefault="00D748D1" w:rsidP="00D748D1">
      <w:pPr>
        <w:shd w:val="clear" w:color="auto" w:fill="FFFFFF"/>
        <w:spacing w:after="200" w:line="276" w:lineRule="auto"/>
        <w:ind w:left="5" w:right="14" w:firstLine="562"/>
        <w:jc w:val="both"/>
        <w:rPr>
          <w:sz w:val="22"/>
          <w:szCs w:val="22"/>
        </w:rPr>
      </w:pPr>
      <w:r w:rsidRPr="00D748D1">
        <w:rPr>
          <w:sz w:val="22"/>
          <w:szCs w:val="22"/>
        </w:rPr>
        <w:t xml:space="preserve">Η Εταιρία μας στα πλαίσια της κοινωνικής ευθύνης και με γνώμονα την άμεση προτεραιότητα μας να διασφαλίσουμε την υγεία </w:t>
      </w:r>
      <w:r>
        <w:rPr>
          <w:sz w:val="22"/>
          <w:szCs w:val="22"/>
        </w:rPr>
        <w:t>τ</w:t>
      </w:r>
      <w:r w:rsidRPr="00D748D1">
        <w:rPr>
          <w:sz w:val="22"/>
          <w:szCs w:val="22"/>
        </w:rPr>
        <w:t xml:space="preserve">ων συνεργατών –πελατών μας και κατ’ επέκταση να συμβάλλουμε στην μείωση της διασποράς του ιού covid-19 συνεχίζει να εφαρμόζει τα μέτρα </w:t>
      </w:r>
      <w:r>
        <w:rPr>
          <w:sz w:val="22"/>
          <w:szCs w:val="22"/>
        </w:rPr>
        <w:t xml:space="preserve">πρόληψης </w:t>
      </w:r>
      <w:r w:rsidRPr="00D748D1">
        <w:rPr>
          <w:sz w:val="22"/>
          <w:szCs w:val="22"/>
        </w:rPr>
        <w:t>που έλαβε στην προηγούμενη χρήση και εφαρμόζοντας οποιαδήποτε οδηγία σχετική με μέτρα πρόληψης που ορίζονται από τις αρμόδιες Υγειονομικές Αρχές.</w:t>
      </w:r>
    </w:p>
    <w:p w:rsidR="00C2626C" w:rsidRPr="00D3458A" w:rsidRDefault="00D748D1" w:rsidP="00D748D1">
      <w:pPr>
        <w:shd w:val="clear" w:color="auto" w:fill="FFFFFF"/>
        <w:spacing w:after="200" w:line="276" w:lineRule="auto"/>
        <w:ind w:left="5" w:right="14" w:firstLine="562"/>
        <w:jc w:val="both"/>
        <w:rPr>
          <w:sz w:val="22"/>
          <w:szCs w:val="22"/>
        </w:rPr>
      </w:pPr>
      <w:r w:rsidRPr="00D748D1">
        <w:rPr>
          <w:sz w:val="22"/>
          <w:szCs w:val="22"/>
        </w:rPr>
        <w:t xml:space="preserve">Σχετικά με την οικονομική επίπτωση λόγω του ιού covid-19, η εταιρία μας δεν θα επηρεαστεί </w:t>
      </w:r>
      <w:r>
        <w:rPr>
          <w:sz w:val="22"/>
          <w:szCs w:val="22"/>
        </w:rPr>
        <w:t>ο τζίρος</w:t>
      </w:r>
      <w:r w:rsidRPr="00D748D1">
        <w:rPr>
          <w:sz w:val="22"/>
          <w:szCs w:val="22"/>
        </w:rPr>
        <w:t xml:space="preserve"> μας καθώς τα οικονομικά στοιχεία της περιόδου </w:t>
      </w:r>
      <w:r>
        <w:rPr>
          <w:sz w:val="22"/>
          <w:szCs w:val="22"/>
        </w:rPr>
        <w:t xml:space="preserve">και η δραστηριότητα μας </w:t>
      </w:r>
      <w:r w:rsidRPr="00D748D1">
        <w:rPr>
          <w:sz w:val="22"/>
          <w:szCs w:val="22"/>
        </w:rPr>
        <w:t xml:space="preserve">μέχρι σήμερα εμφανίζονται </w:t>
      </w:r>
      <w:r>
        <w:rPr>
          <w:sz w:val="22"/>
          <w:szCs w:val="22"/>
        </w:rPr>
        <w:t>περιορισμένη</w:t>
      </w:r>
      <w:r w:rsidRPr="00D748D1">
        <w:rPr>
          <w:sz w:val="22"/>
          <w:szCs w:val="22"/>
        </w:rPr>
        <w:t xml:space="preserve"> παρόλο αυτά εκτιμούμε ότι ως Διοίκηση δεν θα αντιμετωπίσουμε οποιοδήποτε πρόβλημα συνέχισης των εργασιών μας για του επόμενους 18 μήνες. Εκτιμούμε ότι θα διατηρηθεί η </w:t>
      </w:r>
      <w:r>
        <w:rPr>
          <w:sz w:val="22"/>
          <w:szCs w:val="22"/>
        </w:rPr>
        <w:t>λειτουργία μας</w:t>
      </w:r>
      <w:r w:rsidRPr="00D748D1">
        <w:rPr>
          <w:sz w:val="22"/>
          <w:szCs w:val="22"/>
        </w:rPr>
        <w:t xml:space="preserve"> θα παρακολουθούμε το θέμα αυτό σε μηνιαία βάση και αν χρειαστεί θα προβούμε στις απαραίτητες διορθωτικές κινήσεις.</w:t>
      </w:r>
    </w:p>
    <w:p w:rsidR="004A01BC" w:rsidRPr="004B03D1" w:rsidRDefault="001B510C" w:rsidP="001B510C">
      <w:pPr>
        <w:jc w:val="center"/>
        <w:rPr>
          <w:sz w:val="22"/>
          <w:szCs w:val="22"/>
        </w:rPr>
      </w:pPr>
      <w:r w:rsidRPr="007337BD">
        <w:rPr>
          <w:sz w:val="22"/>
          <w:szCs w:val="22"/>
        </w:rPr>
        <w:t xml:space="preserve">Πάτρα, </w:t>
      </w:r>
      <w:r w:rsidR="008C6842" w:rsidRPr="007337BD">
        <w:rPr>
          <w:sz w:val="22"/>
          <w:szCs w:val="22"/>
        </w:rPr>
        <w:t>27</w:t>
      </w:r>
      <w:r w:rsidR="0089735C" w:rsidRPr="007337BD">
        <w:rPr>
          <w:sz w:val="22"/>
          <w:szCs w:val="22"/>
        </w:rPr>
        <w:t xml:space="preserve"> Ιουλίου </w:t>
      </w:r>
      <w:r w:rsidR="007337BD" w:rsidRPr="007337BD">
        <w:rPr>
          <w:sz w:val="22"/>
          <w:szCs w:val="22"/>
        </w:rPr>
        <w:t>2022</w:t>
      </w:r>
    </w:p>
    <w:p w:rsidR="004A01BC" w:rsidRPr="00D3458A" w:rsidRDefault="004A01BC" w:rsidP="004A01BC">
      <w:pPr>
        <w:rPr>
          <w:sz w:val="22"/>
          <w:szCs w:val="22"/>
        </w:rPr>
      </w:pPr>
    </w:p>
    <w:tbl>
      <w:tblPr>
        <w:tblW w:w="0" w:type="auto"/>
        <w:jc w:val="center"/>
        <w:tblLook w:val="01E0" w:firstRow="1" w:lastRow="1" w:firstColumn="1" w:lastColumn="1" w:noHBand="0" w:noVBand="0"/>
      </w:tblPr>
      <w:tblGrid>
        <w:gridCol w:w="3252"/>
        <w:gridCol w:w="3253"/>
        <w:gridCol w:w="3247"/>
      </w:tblGrid>
      <w:tr w:rsidR="00822F62" w:rsidRPr="00A131AE" w:rsidTr="00B32765">
        <w:trPr>
          <w:jc w:val="center"/>
        </w:trPr>
        <w:tc>
          <w:tcPr>
            <w:tcW w:w="3254" w:type="dxa"/>
          </w:tcPr>
          <w:p w:rsidR="00822F62" w:rsidRPr="00D3458A" w:rsidRDefault="00C97D48" w:rsidP="003506D2">
            <w:pPr>
              <w:autoSpaceDE w:val="0"/>
              <w:autoSpaceDN w:val="0"/>
              <w:adjustRightInd w:val="0"/>
              <w:jc w:val="center"/>
              <w:rPr>
                <w:bCs/>
                <w:sz w:val="22"/>
                <w:szCs w:val="22"/>
              </w:rPr>
            </w:pPr>
            <w:r w:rsidRPr="00D3458A">
              <w:rPr>
                <w:bCs/>
                <w:sz w:val="22"/>
                <w:szCs w:val="22"/>
              </w:rPr>
              <w:t xml:space="preserve">Πρόεδρος του Διοικητικού Συμβουλίου και Διευθύνων Σύμβουλος </w:t>
            </w:r>
          </w:p>
        </w:tc>
        <w:tc>
          <w:tcPr>
            <w:tcW w:w="3255" w:type="dxa"/>
          </w:tcPr>
          <w:p w:rsidR="00C97D48" w:rsidRPr="00D3458A" w:rsidRDefault="00C97D48" w:rsidP="00C97D48">
            <w:pPr>
              <w:autoSpaceDE w:val="0"/>
              <w:autoSpaceDN w:val="0"/>
              <w:adjustRightInd w:val="0"/>
              <w:jc w:val="center"/>
              <w:rPr>
                <w:bCs/>
                <w:sz w:val="22"/>
                <w:szCs w:val="22"/>
              </w:rPr>
            </w:pPr>
            <w:r w:rsidRPr="00D3458A">
              <w:rPr>
                <w:bCs/>
                <w:sz w:val="22"/>
                <w:szCs w:val="22"/>
              </w:rPr>
              <w:t xml:space="preserve">Μέλος του </w:t>
            </w:r>
          </w:p>
          <w:p w:rsidR="00822F62" w:rsidRPr="00D3458A" w:rsidRDefault="00C97D48" w:rsidP="00C97D48">
            <w:pPr>
              <w:autoSpaceDE w:val="0"/>
              <w:autoSpaceDN w:val="0"/>
              <w:adjustRightInd w:val="0"/>
              <w:jc w:val="center"/>
              <w:rPr>
                <w:bCs/>
                <w:sz w:val="22"/>
                <w:szCs w:val="22"/>
              </w:rPr>
            </w:pPr>
            <w:r w:rsidRPr="00D3458A">
              <w:rPr>
                <w:bCs/>
                <w:sz w:val="22"/>
                <w:szCs w:val="22"/>
              </w:rPr>
              <w:t xml:space="preserve">Διοικητικού Συμβουλίου </w:t>
            </w:r>
          </w:p>
        </w:tc>
        <w:tc>
          <w:tcPr>
            <w:tcW w:w="3249" w:type="dxa"/>
          </w:tcPr>
          <w:p w:rsidR="00C97D48" w:rsidRPr="00D3458A" w:rsidRDefault="00C97D48" w:rsidP="00C97D48">
            <w:pPr>
              <w:autoSpaceDE w:val="0"/>
              <w:autoSpaceDN w:val="0"/>
              <w:adjustRightInd w:val="0"/>
              <w:jc w:val="center"/>
              <w:rPr>
                <w:bCs/>
                <w:sz w:val="22"/>
                <w:szCs w:val="22"/>
              </w:rPr>
            </w:pPr>
            <w:r w:rsidRPr="00D3458A">
              <w:rPr>
                <w:bCs/>
                <w:sz w:val="22"/>
                <w:szCs w:val="22"/>
              </w:rPr>
              <w:t>Υπεύθυνος του</w:t>
            </w:r>
          </w:p>
          <w:p w:rsidR="00822F62" w:rsidRPr="00D3458A" w:rsidRDefault="00C97D48" w:rsidP="003506D2">
            <w:pPr>
              <w:autoSpaceDE w:val="0"/>
              <w:autoSpaceDN w:val="0"/>
              <w:adjustRightInd w:val="0"/>
              <w:jc w:val="center"/>
              <w:rPr>
                <w:bCs/>
                <w:sz w:val="22"/>
                <w:szCs w:val="22"/>
              </w:rPr>
            </w:pPr>
            <w:r w:rsidRPr="00D3458A">
              <w:rPr>
                <w:bCs/>
                <w:sz w:val="22"/>
                <w:szCs w:val="22"/>
              </w:rPr>
              <w:t xml:space="preserve"> Λογιστηρίου </w:t>
            </w:r>
          </w:p>
        </w:tc>
      </w:tr>
    </w:tbl>
    <w:p w:rsidR="00762095" w:rsidRPr="00A131AE" w:rsidRDefault="00762095" w:rsidP="004A01BC">
      <w:pPr>
        <w:tabs>
          <w:tab w:val="left" w:pos="6893"/>
        </w:tabs>
        <w:rPr>
          <w:sz w:val="22"/>
          <w:szCs w:val="22"/>
          <w:highlight w:val="yellow"/>
        </w:rPr>
      </w:pPr>
    </w:p>
    <w:p w:rsidR="007D5488" w:rsidRPr="00A131AE" w:rsidRDefault="007D5488" w:rsidP="004A01BC">
      <w:pPr>
        <w:tabs>
          <w:tab w:val="left" w:pos="6893"/>
        </w:tabs>
        <w:rPr>
          <w:sz w:val="22"/>
          <w:szCs w:val="22"/>
          <w:highlight w:val="yellow"/>
        </w:rPr>
      </w:pPr>
    </w:p>
    <w:p w:rsidR="00822F62" w:rsidRPr="00A131AE" w:rsidRDefault="00822F62" w:rsidP="004A01BC">
      <w:pPr>
        <w:tabs>
          <w:tab w:val="left" w:pos="6893"/>
        </w:tabs>
        <w:rPr>
          <w:sz w:val="22"/>
          <w:szCs w:val="22"/>
          <w:highlight w:val="yellow"/>
        </w:rPr>
      </w:pPr>
    </w:p>
    <w:tbl>
      <w:tblPr>
        <w:tblW w:w="0" w:type="auto"/>
        <w:jc w:val="center"/>
        <w:tblLook w:val="01E0" w:firstRow="1" w:lastRow="1" w:firstColumn="1" w:lastColumn="1" w:noHBand="0" w:noVBand="0"/>
      </w:tblPr>
      <w:tblGrid>
        <w:gridCol w:w="3252"/>
        <w:gridCol w:w="3253"/>
        <w:gridCol w:w="3247"/>
      </w:tblGrid>
      <w:tr w:rsidR="00822F62" w:rsidRPr="00822F62" w:rsidTr="00B32765">
        <w:trPr>
          <w:jc w:val="center"/>
        </w:trPr>
        <w:tc>
          <w:tcPr>
            <w:tcW w:w="3254" w:type="dxa"/>
          </w:tcPr>
          <w:p w:rsidR="00C97D48" w:rsidRPr="00D3458A" w:rsidRDefault="00D3458A" w:rsidP="00C97D48">
            <w:pPr>
              <w:autoSpaceDE w:val="0"/>
              <w:autoSpaceDN w:val="0"/>
              <w:adjustRightInd w:val="0"/>
              <w:jc w:val="center"/>
              <w:rPr>
                <w:bCs/>
                <w:sz w:val="22"/>
                <w:szCs w:val="22"/>
              </w:rPr>
            </w:pPr>
            <w:r w:rsidRPr="00D3458A">
              <w:rPr>
                <w:bCs/>
                <w:sz w:val="22"/>
                <w:szCs w:val="22"/>
              </w:rPr>
              <w:t>Κωνσταντίνος Γ. Παναγούλιας</w:t>
            </w:r>
          </w:p>
          <w:p w:rsidR="0080146B" w:rsidRPr="00595C7D" w:rsidRDefault="00726470" w:rsidP="00C97D48">
            <w:pPr>
              <w:autoSpaceDE w:val="0"/>
              <w:autoSpaceDN w:val="0"/>
              <w:adjustRightInd w:val="0"/>
              <w:jc w:val="center"/>
              <w:rPr>
                <w:bCs/>
                <w:sz w:val="22"/>
                <w:szCs w:val="22"/>
              </w:rPr>
            </w:pPr>
            <w:r w:rsidRPr="00595C7D">
              <w:rPr>
                <w:bCs/>
                <w:sz w:val="22"/>
                <w:szCs w:val="22"/>
              </w:rPr>
              <w:t>Α.Δ.Τ. Σ 250113</w:t>
            </w:r>
          </w:p>
          <w:p w:rsidR="00822F62" w:rsidRPr="00595C7D" w:rsidRDefault="00822F62" w:rsidP="00B32765">
            <w:pPr>
              <w:autoSpaceDE w:val="0"/>
              <w:autoSpaceDN w:val="0"/>
              <w:adjustRightInd w:val="0"/>
              <w:jc w:val="center"/>
              <w:rPr>
                <w:bCs/>
                <w:sz w:val="22"/>
                <w:szCs w:val="22"/>
              </w:rPr>
            </w:pPr>
          </w:p>
        </w:tc>
        <w:tc>
          <w:tcPr>
            <w:tcW w:w="3255" w:type="dxa"/>
          </w:tcPr>
          <w:p w:rsidR="00822F62" w:rsidRPr="00094E3E" w:rsidRDefault="00D3458A" w:rsidP="00B32765">
            <w:pPr>
              <w:autoSpaceDE w:val="0"/>
              <w:autoSpaceDN w:val="0"/>
              <w:adjustRightInd w:val="0"/>
              <w:jc w:val="center"/>
              <w:rPr>
                <w:bCs/>
                <w:sz w:val="22"/>
                <w:szCs w:val="22"/>
              </w:rPr>
            </w:pPr>
            <w:r w:rsidRPr="00094E3E">
              <w:rPr>
                <w:bCs/>
                <w:sz w:val="22"/>
                <w:szCs w:val="22"/>
              </w:rPr>
              <w:t>Βικτωρία Δ. Τζαμτζή</w:t>
            </w:r>
          </w:p>
          <w:p w:rsidR="0080146B" w:rsidRPr="00094E3E" w:rsidRDefault="0080146B" w:rsidP="00476A81">
            <w:pPr>
              <w:autoSpaceDE w:val="0"/>
              <w:autoSpaceDN w:val="0"/>
              <w:adjustRightInd w:val="0"/>
              <w:jc w:val="center"/>
              <w:rPr>
                <w:bCs/>
                <w:sz w:val="22"/>
                <w:szCs w:val="22"/>
              </w:rPr>
            </w:pPr>
            <w:r w:rsidRPr="00094E3E">
              <w:rPr>
                <w:bCs/>
                <w:sz w:val="22"/>
                <w:szCs w:val="22"/>
              </w:rPr>
              <w:t xml:space="preserve">Α.Δ.T.  </w:t>
            </w:r>
            <w:r w:rsidR="0092751B" w:rsidRPr="00094E3E">
              <w:rPr>
                <w:bCs/>
                <w:sz w:val="22"/>
                <w:szCs w:val="22"/>
              </w:rPr>
              <w:t>Α</w:t>
            </w:r>
            <w:r w:rsidR="00476A81" w:rsidRPr="00094E3E">
              <w:rPr>
                <w:bCs/>
                <w:sz w:val="22"/>
                <w:szCs w:val="22"/>
              </w:rPr>
              <w:t>Ε</w:t>
            </w:r>
            <w:r w:rsidR="0092751B" w:rsidRPr="00094E3E">
              <w:rPr>
                <w:bCs/>
                <w:sz w:val="22"/>
                <w:szCs w:val="22"/>
              </w:rPr>
              <w:t xml:space="preserve"> </w:t>
            </w:r>
            <w:r w:rsidR="00476A81" w:rsidRPr="00094E3E">
              <w:rPr>
                <w:bCs/>
                <w:sz w:val="22"/>
                <w:szCs w:val="22"/>
              </w:rPr>
              <w:t>559008</w:t>
            </w:r>
          </w:p>
        </w:tc>
        <w:tc>
          <w:tcPr>
            <w:tcW w:w="3249" w:type="dxa"/>
          </w:tcPr>
          <w:p w:rsidR="00C97D48" w:rsidRPr="00D3458A" w:rsidRDefault="007A2AE6" w:rsidP="00C97D48">
            <w:pPr>
              <w:autoSpaceDE w:val="0"/>
              <w:autoSpaceDN w:val="0"/>
              <w:adjustRightInd w:val="0"/>
              <w:jc w:val="center"/>
              <w:rPr>
                <w:bCs/>
                <w:sz w:val="22"/>
                <w:szCs w:val="22"/>
              </w:rPr>
            </w:pPr>
            <w:r>
              <w:rPr>
                <w:bCs/>
                <w:sz w:val="22"/>
                <w:szCs w:val="22"/>
              </w:rPr>
              <w:t>Δήμητρα Παναγιωτοπούλου</w:t>
            </w:r>
          </w:p>
          <w:p w:rsidR="00822F62" w:rsidRPr="007D5488" w:rsidRDefault="004A70C7" w:rsidP="00B32765">
            <w:pPr>
              <w:autoSpaceDE w:val="0"/>
              <w:autoSpaceDN w:val="0"/>
              <w:adjustRightInd w:val="0"/>
              <w:jc w:val="center"/>
              <w:rPr>
                <w:bCs/>
                <w:sz w:val="22"/>
                <w:szCs w:val="22"/>
              </w:rPr>
            </w:pPr>
            <w:r w:rsidRPr="00D3458A">
              <w:rPr>
                <w:bCs/>
                <w:sz w:val="22"/>
                <w:szCs w:val="22"/>
              </w:rPr>
              <w:t>Α.Δ.Τ. ΑΑ 313796</w:t>
            </w:r>
          </w:p>
        </w:tc>
      </w:tr>
    </w:tbl>
    <w:p w:rsidR="00822F62" w:rsidRPr="004A01BC" w:rsidRDefault="00822F62" w:rsidP="004A01BC">
      <w:pPr>
        <w:tabs>
          <w:tab w:val="left" w:pos="6893"/>
        </w:tabs>
        <w:rPr>
          <w:sz w:val="22"/>
          <w:szCs w:val="22"/>
        </w:rPr>
      </w:pPr>
    </w:p>
    <w:sectPr w:rsidR="00822F62" w:rsidRPr="004A01BC" w:rsidSect="008737B6">
      <w:headerReference w:type="default" r:id="rId19"/>
      <w:footerReference w:type="even" r:id="rId20"/>
      <w:footerReference w:type="default" r:id="rId21"/>
      <w:pgSz w:w="11906" w:h="16838" w:code="9"/>
      <w:pgMar w:top="1440" w:right="1077" w:bottom="1440"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F8E" w:rsidRDefault="00996F8E">
      <w:r>
        <w:separator/>
      </w:r>
    </w:p>
  </w:endnote>
  <w:endnote w:type="continuationSeparator" w:id="0">
    <w:p w:rsidR="00996F8E" w:rsidRDefault="0099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AB" w:rsidRPr="003506D2" w:rsidRDefault="00A149AB" w:rsidP="003506D2">
    <w:pPr>
      <w:pStyle w:val="a6"/>
      <w:tabs>
        <w:tab w:val="clear" w:pos="8306"/>
        <w:tab w:val="right" w:pos="9072"/>
      </w:tabs>
      <w:ind w:right="-1"/>
      <w:jc w:val="right"/>
      <w:rPr>
        <w:rFonts w:ascii="Arial" w:hAnsi="Arial" w:cs="Arial"/>
        <w:sz w:val="20"/>
        <w:szCs w:val="20"/>
      </w:rPr>
    </w:pPr>
    <w:r w:rsidRPr="003506D2">
      <w:rPr>
        <w:rFonts w:ascii="Arial" w:hAnsi="Arial" w:cs="Arial"/>
        <w:sz w:val="20"/>
        <w:szCs w:val="20"/>
      </w:rPr>
      <w:fldChar w:fldCharType="begin"/>
    </w:r>
    <w:r w:rsidRPr="003506D2">
      <w:rPr>
        <w:rFonts w:ascii="Arial" w:hAnsi="Arial" w:cs="Arial"/>
        <w:sz w:val="20"/>
        <w:szCs w:val="20"/>
      </w:rPr>
      <w:instrText xml:space="preserve"> PAGE   \* MERGEFORMAT </w:instrText>
    </w:r>
    <w:r w:rsidRPr="003506D2">
      <w:rPr>
        <w:rFonts w:ascii="Arial" w:hAnsi="Arial" w:cs="Arial"/>
        <w:sz w:val="20"/>
        <w:szCs w:val="20"/>
      </w:rPr>
      <w:fldChar w:fldCharType="separate"/>
    </w:r>
    <w:r w:rsidR="00247F2B">
      <w:rPr>
        <w:rFonts w:ascii="Arial" w:hAnsi="Arial" w:cs="Arial"/>
        <w:noProof/>
        <w:sz w:val="20"/>
        <w:szCs w:val="20"/>
      </w:rPr>
      <w:t>3</w:t>
    </w:r>
    <w:r w:rsidRPr="003506D2">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AB" w:rsidRPr="003506D2" w:rsidRDefault="00A149AB" w:rsidP="003506D2">
    <w:pPr>
      <w:pStyle w:val="a6"/>
      <w:tabs>
        <w:tab w:val="clear" w:pos="8306"/>
        <w:tab w:val="right" w:pos="9072"/>
      </w:tabs>
      <w:ind w:right="-1"/>
      <w:jc w:val="right"/>
      <w:rPr>
        <w:rFonts w:ascii="Arial" w:hAnsi="Arial" w:cs="Arial"/>
        <w:sz w:val="20"/>
        <w:szCs w:val="20"/>
      </w:rPr>
    </w:pPr>
    <w:r w:rsidRPr="003506D2">
      <w:rPr>
        <w:rFonts w:ascii="Arial" w:hAnsi="Arial" w:cs="Arial"/>
        <w:sz w:val="20"/>
        <w:szCs w:val="20"/>
      </w:rPr>
      <w:fldChar w:fldCharType="begin"/>
    </w:r>
    <w:r w:rsidRPr="003506D2">
      <w:rPr>
        <w:rFonts w:ascii="Arial" w:hAnsi="Arial" w:cs="Arial"/>
        <w:sz w:val="20"/>
        <w:szCs w:val="20"/>
      </w:rPr>
      <w:instrText xml:space="preserve"> PAGE   \* MERGEFORMAT </w:instrText>
    </w:r>
    <w:r w:rsidRPr="003506D2">
      <w:rPr>
        <w:rFonts w:ascii="Arial" w:hAnsi="Arial" w:cs="Arial"/>
        <w:sz w:val="20"/>
        <w:szCs w:val="20"/>
      </w:rPr>
      <w:fldChar w:fldCharType="separate"/>
    </w:r>
    <w:r w:rsidR="00247F2B">
      <w:rPr>
        <w:rFonts w:ascii="Arial" w:hAnsi="Arial" w:cs="Arial"/>
        <w:noProof/>
        <w:sz w:val="20"/>
        <w:szCs w:val="20"/>
      </w:rPr>
      <w:t>1</w:t>
    </w:r>
    <w:r w:rsidRPr="003506D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AB" w:rsidRPr="00661C78" w:rsidRDefault="00A149AB" w:rsidP="00661C78">
    <w:pPr>
      <w:pStyle w:val="a6"/>
      <w:rPr>
        <w:b/>
        <w:i/>
        <w:sz w:val="18"/>
        <w:szCs w:val="18"/>
        <w:lang w:val="el-GR"/>
      </w:rPr>
    </w:pPr>
  </w:p>
  <w:p w:rsidR="00A149AB" w:rsidRPr="00600203" w:rsidRDefault="00A149AB" w:rsidP="00525929">
    <w:pPr>
      <w:pStyle w:val="a6"/>
      <w:pBdr>
        <w:top w:val="single" w:sz="4" w:space="1" w:color="auto"/>
      </w:pBdr>
      <w:rPr>
        <w:b/>
        <w:i/>
        <w:sz w:val="6"/>
        <w:szCs w:val="6"/>
        <w:lang w:val="el-GR"/>
      </w:rPr>
    </w:pPr>
  </w:p>
  <w:p w:rsidR="00A149AB" w:rsidRDefault="00A149AB" w:rsidP="003506D2">
    <w:pPr>
      <w:pStyle w:val="a6"/>
      <w:tabs>
        <w:tab w:val="clear" w:pos="8306"/>
        <w:tab w:val="right" w:pos="9354"/>
      </w:tabs>
    </w:pPr>
    <w:r w:rsidRPr="00B479B9">
      <w:rPr>
        <w:sz w:val="20"/>
        <w:lang w:val="el-GR"/>
      </w:rPr>
      <w:t xml:space="preserve">ΧΡΗΜΑΤΟΟΙΚΟΝΟΜΙΚΕΣ ΚΑΤΑΣΤΑΣΕΙΣ </w:t>
    </w:r>
    <w:r w:rsidRPr="00B479B9">
      <w:rPr>
        <w:sz w:val="20"/>
        <w:lang w:val="en-US"/>
      </w:rPr>
      <w:t>ELDRUG</w:t>
    </w:r>
    <w:r w:rsidRPr="00B479B9">
      <w:rPr>
        <w:sz w:val="20"/>
        <w:lang w:val="el-GR"/>
      </w:rPr>
      <w:t xml:space="preserve"> </w:t>
    </w:r>
    <w:r w:rsidRPr="00B479B9">
      <w:rPr>
        <w:sz w:val="20"/>
        <w:lang w:val="en-US"/>
      </w:rPr>
      <w:t>A</w:t>
    </w:r>
    <w:r w:rsidRPr="00B479B9">
      <w:rPr>
        <w:sz w:val="20"/>
        <w:lang w:val="el-GR"/>
      </w:rPr>
      <w:t>.</w:t>
    </w:r>
    <w:r w:rsidRPr="00B479B9">
      <w:rPr>
        <w:sz w:val="20"/>
        <w:lang w:val="en-US"/>
      </w:rPr>
      <w:t>E</w:t>
    </w:r>
    <w:r>
      <w:rPr>
        <w:sz w:val="20"/>
        <w:lang w:val="el-GR"/>
      </w:rPr>
      <w:t xml:space="preserve"> ΧΡΗΣΗΣ 2021</w:t>
    </w:r>
    <w:r w:rsidRPr="00B479B9">
      <w:rPr>
        <w:sz w:val="20"/>
        <w:lang w:val="el-GR"/>
      </w:rPr>
      <w:t xml:space="preserve"> ΣΥΜΦΩΝΑ ΜΕ ΤΑ Ε.Λ.Π.</w:t>
    </w:r>
    <w:r>
      <w:rPr>
        <w:sz w:val="20"/>
        <w:lang w:val="el-GR"/>
      </w:rPr>
      <w:tab/>
    </w:r>
    <w:r>
      <w:rPr>
        <w:sz w:val="20"/>
        <w:lang w:val="el-GR"/>
      </w:rPr>
      <w:fldChar w:fldCharType="begin"/>
    </w:r>
    <w:r>
      <w:rPr>
        <w:sz w:val="20"/>
        <w:lang w:val="el-GR"/>
      </w:rPr>
      <w:instrText xml:space="preserve"> PAGE   \* MERGEFORMAT </w:instrText>
    </w:r>
    <w:r>
      <w:rPr>
        <w:sz w:val="20"/>
        <w:lang w:val="el-GR"/>
      </w:rPr>
      <w:fldChar w:fldCharType="separate"/>
    </w:r>
    <w:r w:rsidR="00247F2B">
      <w:rPr>
        <w:noProof/>
        <w:sz w:val="20"/>
        <w:lang w:val="el-GR"/>
      </w:rPr>
      <w:t>6</w:t>
    </w:r>
    <w:r>
      <w:rPr>
        <w:sz w:val="20"/>
        <w:lang w:val="el-G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AB" w:rsidRPr="00661C78" w:rsidRDefault="00A149AB" w:rsidP="003506D2">
    <w:pPr>
      <w:pStyle w:val="a6"/>
      <w:rPr>
        <w:b/>
        <w:i/>
        <w:sz w:val="18"/>
        <w:szCs w:val="18"/>
        <w:lang w:val="el-GR"/>
      </w:rPr>
    </w:pPr>
  </w:p>
  <w:p w:rsidR="00A149AB" w:rsidRPr="00600203" w:rsidRDefault="00A149AB" w:rsidP="003506D2">
    <w:pPr>
      <w:pStyle w:val="a6"/>
      <w:pBdr>
        <w:top w:val="single" w:sz="4" w:space="1" w:color="auto"/>
      </w:pBdr>
      <w:rPr>
        <w:b/>
        <w:i/>
        <w:sz w:val="6"/>
        <w:szCs w:val="6"/>
        <w:lang w:val="el-GR"/>
      </w:rPr>
    </w:pPr>
  </w:p>
  <w:p w:rsidR="00A149AB" w:rsidRDefault="00A149AB" w:rsidP="003506D2">
    <w:pPr>
      <w:pStyle w:val="a6"/>
      <w:tabs>
        <w:tab w:val="clear" w:pos="8306"/>
        <w:tab w:val="right" w:pos="9354"/>
      </w:tabs>
    </w:pPr>
    <w:r w:rsidRPr="00B479B9">
      <w:rPr>
        <w:sz w:val="20"/>
        <w:lang w:val="el-GR"/>
      </w:rPr>
      <w:t xml:space="preserve">ΧΡΗΜΑΤΟΟΙΚΟΝΟΜΙΚΕΣ ΚΑΤΑΣΤΑΣΕΙΣ </w:t>
    </w:r>
    <w:r w:rsidRPr="00B479B9">
      <w:rPr>
        <w:sz w:val="20"/>
        <w:lang w:val="en-US"/>
      </w:rPr>
      <w:t>ELDRUG</w:t>
    </w:r>
    <w:r w:rsidRPr="00B479B9">
      <w:rPr>
        <w:sz w:val="20"/>
        <w:lang w:val="el-GR"/>
      </w:rPr>
      <w:t xml:space="preserve"> </w:t>
    </w:r>
    <w:r w:rsidRPr="00B479B9">
      <w:rPr>
        <w:sz w:val="20"/>
        <w:lang w:val="en-US"/>
      </w:rPr>
      <w:t>A</w:t>
    </w:r>
    <w:r w:rsidRPr="00B479B9">
      <w:rPr>
        <w:sz w:val="20"/>
        <w:lang w:val="el-GR"/>
      </w:rPr>
      <w:t>.</w:t>
    </w:r>
    <w:r w:rsidRPr="00B479B9">
      <w:rPr>
        <w:sz w:val="20"/>
        <w:lang w:val="en-US"/>
      </w:rPr>
      <w:t>E</w:t>
    </w:r>
    <w:r>
      <w:rPr>
        <w:sz w:val="20"/>
        <w:lang w:val="el-GR"/>
      </w:rPr>
      <w:t xml:space="preserve"> ΧΡΗΣΗΣ 2021</w:t>
    </w:r>
    <w:r w:rsidRPr="00B479B9">
      <w:rPr>
        <w:sz w:val="20"/>
        <w:lang w:val="el-GR"/>
      </w:rPr>
      <w:t xml:space="preserve"> ΣΥΜΦΩΝΑ ΜΕ ΤΑ Ε.Λ.Π.</w:t>
    </w:r>
    <w:r>
      <w:rPr>
        <w:sz w:val="20"/>
        <w:lang w:val="el-GR"/>
      </w:rPr>
      <w:tab/>
    </w:r>
    <w:r>
      <w:rPr>
        <w:sz w:val="20"/>
        <w:lang w:val="el-GR"/>
      </w:rPr>
      <w:fldChar w:fldCharType="begin"/>
    </w:r>
    <w:r>
      <w:rPr>
        <w:sz w:val="20"/>
        <w:lang w:val="el-GR"/>
      </w:rPr>
      <w:instrText xml:space="preserve"> PAGE   \* MERGEFORMAT </w:instrText>
    </w:r>
    <w:r>
      <w:rPr>
        <w:sz w:val="20"/>
        <w:lang w:val="el-GR"/>
      </w:rPr>
      <w:fldChar w:fldCharType="separate"/>
    </w:r>
    <w:r w:rsidR="00247F2B">
      <w:rPr>
        <w:noProof/>
        <w:sz w:val="20"/>
        <w:lang w:val="el-GR"/>
      </w:rPr>
      <w:t>4</w:t>
    </w:r>
    <w:r>
      <w:rPr>
        <w:sz w:val="20"/>
        <w:lang w:val="el-G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AB" w:rsidRPr="00661C78" w:rsidRDefault="00A149AB" w:rsidP="003506D2">
    <w:pPr>
      <w:pStyle w:val="a6"/>
      <w:rPr>
        <w:b/>
        <w:i/>
        <w:sz w:val="18"/>
        <w:szCs w:val="18"/>
        <w:lang w:val="el-GR"/>
      </w:rPr>
    </w:pPr>
  </w:p>
  <w:p w:rsidR="00A149AB" w:rsidRPr="00600203" w:rsidRDefault="00A149AB" w:rsidP="003506D2">
    <w:pPr>
      <w:pStyle w:val="a6"/>
      <w:pBdr>
        <w:top w:val="single" w:sz="4" w:space="1" w:color="auto"/>
      </w:pBdr>
      <w:rPr>
        <w:b/>
        <w:i/>
        <w:sz w:val="6"/>
        <w:szCs w:val="6"/>
        <w:lang w:val="el-GR"/>
      </w:rPr>
    </w:pPr>
  </w:p>
  <w:p w:rsidR="00A149AB" w:rsidRDefault="00A149AB" w:rsidP="003506D2">
    <w:pPr>
      <w:pStyle w:val="a6"/>
      <w:tabs>
        <w:tab w:val="clear" w:pos="8306"/>
        <w:tab w:val="right" w:pos="14002"/>
      </w:tabs>
    </w:pPr>
    <w:r w:rsidRPr="00B479B9">
      <w:rPr>
        <w:sz w:val="20"/>
        <w:lang w:val="el-GR"/>
      </w:rPr>
      <w:t xml:space="preserve">ΧΡΗΜΑΤΟΟΙΚΟΝΟΜΙΚΕΣ ΚΑΤΑΣΤΑΣΕΙΣ </w:t>
    </w:r>
    <w:r w:rsidRPr="00B479B9">
      <w:rPr>
        <w:sz w:val="20"/>
        <w:lang w:val="en-US"/>
      </w:rPr>
      <w:t>ELDRUG</w:t>
    </w:r>
    <w:r w:rsidRPr="00B479B9">
      <w:rPr>
        <w:sz w:val="20"/>
        <w:lang w:val="el-GR"/>
      </w:rPr>
      <w:t xml:space="preserve"> </w:t>
    </w:r>
    <w:r w:rsidRPr="00B479B9">
      <w:rPr>
        <w:sz w:val="20"/>
        <w:lang w:val="en-US"/>
      </w:rPr>
      <w:t>A</w:t>
    </w:r>
    <w:r w:rsidRPr="00B479B9">
      <w:rPr>
        <w:sz w:val="20"/>
        <w:lang w:val="el-GR"/>
      </w:rPr>
      <w:t>.</w:t>
    </w:r>
    <w:r w:rsidRPr="00B479B9">
      <w:rPr>
        <w:sz w:val="20"/>
        <w:lang w:val="en-US"/>
      </w:rPr>
      <w:t>E</w:t>
    </w:r>
    <w:r>
      <w:rPr>
        <w:sz w:val="20"/>
        <w:lang w:val="el-GR"/>
      </w:rPr>
      <w:t xml:space="preserve"> ΧΡΗΣΗΣ 2021</w:t>
    </w:r>
    <w:r w:rsidRPr="00B479B9">
      <w:rPr>
        <w:sz w:val="20"/>
        <w:lang w:val="el-GR"/>
      </w:rPr>
      <w:t xml:space="preserve"> ΣΥΜΦΩΝΑ ΜΕ ΤΑ Ε.Λ.Π.</w:t>
    </w:r>
    <w:r>
      <w:rPr>
        <w:sz w:val="20"/>
        <w:lang w:val="el-GR"/>
      </w:rPr>
      <w:tab/>
    </w:r>
    <w:r>
      <w:rPr>
        <w:sz w:val="20"/>
        <w:lang w:val="el-GR"/>
      </w:rPr>
      <w:fldChar w:fldCharType="begin"/>
    </w:r>
    <w:r>
      <w:rPr>
        <w:sz w:val="20"/>
        <w:lang w:val="el-GR"/>
      </w:rPr>
      <w:instrText xml:space="preserve"> PAGE   \* MERGEFORMAT </w:instrText>
    </w:r>
    <w:r>
      <w:rPr>
        <w:sz w:val="20"/>
        <w:lang w:val="el-GR"/>
      </w:rPr>
      <w:fldChar w:fldCharType="separate"/>
    </w:r>
    <w:r w:rsidR="00247F2B">
      <w:rPr>
        <w:noProof/>
        <w:sz w:val="20"/>
        <w:lang w:val="el-GR"/>
      </w:rPr>
      <w:t>7</w:t>
    </w:r>
    <w:r>
      <w:rPr>
        <w:sz w:val="20"/>
        <w:lang w:val="el-G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AB" w:rsidRDefault="00A149AB" w:rsidP="00144CB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149AB" w:rsidRDefault="00A149AB" w:rsidP="00A41206">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AB" w:rsidRPr="00661C78" w:rsidRDefault="00A149AB" w:rsidP="003506D2">
    <w:pPr>
      <w:pStyle w:val="a6"/>
      <w:rPr>
        <w:b/>
        <w:i/>
        <w:sz w:val="18"/>
        <w:szCs w:val="18"/>
        <w:lang w:val="el-GR"/>
      </w:rPr>
    </w:pPr>
  </w:p>
  <w:p w:rsidR="00A149AB" w:rsidRPr="00600203" w:rsidRDefault="00A149AB" w:rsidP="003506D2">
    <w:pPr>
      <w:pStyle w:val="a6"/>
      <w:pBdr>
        <w:top w:val="single" w:sz="4" w:space="1" w:color="auto"/>
      </w:pBdr>
      <w:rPr>
        <w:b/>
        <w:i/>
        <w:sz w:val="6"/>
        <w:szCs w:val="6"/>
        <w:lang w:val="el-GR"/>
      </w:rPr>
    </w:pPr>
  </w:p>
  <w:p w:rsidR="00A149AB" w:rsidRDefault="00A149AB" w:rsidP="003506D2">
    <w:pPr>
      <w:pStyle w:val="a6"/>
      <w:tabs>
        <w:tab w:val="clear" w:pos="8306"/>
        <w:tab w:val="right" w:pos="9752"/>
      </w:tabs>
    </w:pPr>
    <w:r w:rsidRPr="00B479B9">
      <w:rPr>
        <w:sz w:val="20"/>
        <w:lang w:val="el-GR"/>
      </w:rPr>
      <w:t xml:space="preserve">ΧΡΗΜΑΤΟΟΙΚΟΝΟΜΙΚΕΣ ΚΑΤΑΣΤΑΣΕΙΣ </w:t>
    </w:r>
    <w:r w:rsidRPr="00B479B9">
      <w:rPr>
        <w:sz w:val="20"/>
        <w:lang w:val="en-US"/>
      </w:rPr>
      <w:t>ELDRUG</w:t>
    </w:r>
    <w:r w:rsidRPr="00B479B9">
      <w:rPr>
        <w:sz w:val="20"/>
        <w:lang w:val="el-GR"/>
      </w:rPr>
      <w:t xml:space="preserve"> </w:t>
    </w:r>
    <w:r w:rsidRPr="00B479B9">
      <w:rPr>
        <w:sz w:val="20"/>
        <w:lang w:val="en-US"/>
      </w:rPr>
      <w:t>A</w:t>
    </w:r>
    <w:r w:rsidRPr="00B479B9">
      <w:rPr>
        <w:sz w:val="20"/>
        <w:lang w:val="el-GR"/>
      </w:rPr>
      <w:t>.</w:t>
    </w:r>
    <w:r w:rsidRPr="00B479B9">
      <w:rPr>
        <w:sz w:val="20"/>
        <w:lang w:val="en-US"/>
      </w:rPr>
      <w:t>E</w:t>
    </w:r>
    <w:r>
      <w:rPr>
        <w:sz w:val="20"/>
        <w:lang w:val="el-GR"/>
      </w:rPr>
      <w:t xml:space="preserve"> ΧΡΗΣΗΣ 2021</w:t>
    </w:r>
    <w:r w:rsidRPr="00B479B9">
      <w:rPr>
        <w:sz w:val="20"/>
        <w:lang w:val="el-GR"/>
      </w:rPr>
      <w:t xml:space="preserve"> ΣΥΜΦΩΝΑ ΜΕ ΤΑ Ε.Λ.Π.</w:t>
    </w:r>
    <w:r>
      <w:rPr>
        <w:sz w:val="20"/>
        <w:lang w:val="el-GR"/>
      </w:rPr>
      <w:tab/>
    </w:r>
    <w:r>
      <w:rPr>
        <w:sz w:val="20"/>
        <w:lang w:val="el-GR"/>
      </w:rPr>
      <w:fldChar w:fldCharType="begin"/>
    </w:r>
    <w:r>
      <w:rPr>
        <w:sz w:val="20"/>
        <w:lang w:val="el-GR"/>
      </w:rPr>
      <w:instrText xml:space="preserve"> PAGE   \* MERGEFORMAT </w:instrText>
    </w:r>
    <w:r>
      <w:rPr>
        <w:sz w:val="20"/>
        <w:lang w:val="el-GR"/>
      </w:rPr>
      <w:fldChar w:fldCharType="separate"/>
    </w:r>
    <w:r w:rsidR="00247F2B">
      <w:rPr>
        <w:noProof/>
        <w:sz w:val="20"/>
        <w:lang w:val="el-GR"/>
      </w:rPr>
      <w:t>21</w:t>
    </w:r>
    <w:r>
      <w:rPr>
        <w:sz w:val="20"/>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F8E" w:rsidRDefault="00996F8E">
      <w:r>
        <w:separator/>
      </w:r>
    </w:p>
  </w:footnote>
  <w:footnote w:type="continuationSeparator" w:id="0">
    <w:p w:rsidR="00996F8E" w:rsidRDefault="0099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AB" w:rsidRPr="003506D2" w:rsidRDefault="00A149AB" w:rsidP="003506D2">
    <w:pPr>
      <w:pStyle w:val="a5"/>
      <w:rPr>
        <w:rFonts w:ascii="Arial" w:hAnsi="Arial" w:cs="Arial"/>
        <w:sz w:val="22"/>
        <w:szCs w:val="22"/>
      </w:rPr>
    </w:pPr>
    <w:r w:rsidRPr="003506D2">
      <w:rPr>
        <w:rFonts w:ascii="Arial" w:hAnsi="Arial" w:cs="Arial"/>
        <w:noProof/>
        <w:sz w:val="22"/>
        <w:szCs w:val="22"/>
        <w:lang w:val="el-GR" w:eastAsia="el-GR"/>
      </w:rPr>
      <w:drawing>
        <wp:anchor distT="0" distB="0" distL="114300" distR="114300" simplePos="0" relativeHeight="251661312" behindDoc="1" locked="0" layoutInCell="1" allowOverlap="1" wp14:anchorId="567D4DE0" wp14:editId="202161D2">
          <wp:simplePos x="0" y="0"/>
          <wp:positionH relativeFrom="column">
            <wp:posOffset>-15240</wp:posOffset>
          </wp:positionH>
          <wp:positionV relativeFrom="paragraph">
            <wp:posOffset>-60960</wp:posOffset>
          </wp:positionV>
          <wp:extent cx="1939925" cy="428625"/>
          <wp:effectExtent l="0" t="0" r="3175" b="9525"/>
          <wp:wrapNone/>
          <wp:docPr id="4" name="Εικόνα 4" descr="SOL_CROWE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_CROWE_LOGO_FINAL"/>
                  <pic:cNvPicPr>
                    <a:picLocks noChangeAspect="1" noChangeArrowheads="1"/>
                  </pic:cNvPicPr>
                </pic:nvPicPr>
                <pic:blipFill>
                  <a:blip r:embed="rId1">
                    <a:extLst>
                      <a:ext uri="{28A0092B-C50C-407E-A947-70E740481C1C}">
                        <a14:useLocalDpi xmlns:a14="http://schemas.microsoft.com/office/drawing/2010/main" val="0"/>
                      </a:ext>
                    </a:extLst>
                  </a:blip>
                  <a:srcRect l="2344"/>
                  <a:stretch>
                    <a:fillRect/>
                  </a:stretch>
                </pic:blipFill>
                <pic:spPr bwMode="auto">
                  <a:xfrm>
                    <a:off x="0" y="0"/>
                    <a:ext cx="19399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9AB" w:rsidRPr="003506D2" w:rsidRDefault="00A149AB" w:rsidP="003506D2">
    <w:pPr>
      <w:pStyle w:val="a5"/>
      <w:rPr>
        <w:rFonts w:ascii="Arial" w:hAnsi="Arial" w:cs="Arial"/>
        <w:sz w:val="22"/>
        <w:szCs w:val="22"/>
      </w:rPr>
    </w:pPr>
  </w:p>
  <w:p w:rsidR="00A149AB" w:rsidRPr="003506D2" w:rsidRDefault="00A149AB" w:rsidP="003506D2">
    <w:pPr>
      <w:pStyle w:val="a5"/>
      <w:rPr>
        <w:rFonts w:ascii="Arial" w:hAnsi="Arial" w:cs="Arial"/>
        <w:sz w:val="22"/>
        <w:szCs w:val="22"/>
      </w:rPr>
    </w:pPr>
  </w:p>
  <w:p w:rsidR="00A149AB" w:rsidRPr="003506D2" w:rsidRDefault="00A149AB" w:rsidP="003506D2">
    <w:pPr>
      <w:pStyle w:val="a5"/>
      <w:rPr>
        <w:rFonts w:ascii="Arial" w:hAnsi="Arial" w:cs="Arial"/>
        <w:sz w:val="22"/>
        <w:szCs w:val="22"/>
      </w:rPr>
    </w:pPr>
  </w:p>
  <w:p w:rsidR="00A149AB" w:rsidRPr="003506D2" w:rsidRDefault="00A149AB" w:rsidP="003506D2">
    <w:pPr>
      <w:pStyle w:val="a5"/>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AB" w:rsidRPr="003506D2" w:rsidRDefault="00A149AB" w:rsidP="003506D2">
    <w:pPr>
      <w:pStyle w:val="a5"/>
      <w:rPr>
        <w:rFonts w:ascii="Arial" w:hAnsi="Arial" w:cs="Arial"/>
        <w:sz w:val="22"/>
        <w:szCs w:val="22"/>
      </w:rPr>
    </w:pPr>
  </w:p>
  <w:p w:rsidR="00A149AB" w:rsidRPr="003506D2" w:rsidRDefault="00A149AB" w:rsidP="003506D2">
    <w:pPr>
      <w:pStyle w:val="a5"/>
      <w:rPr>
        <w:rFonts w:ascii="Arial" w:hAnsi="Arial" w:cs="Arial"/>
        <w:sz w:val="22"/>
        <w:szCs w:val="22"/>
      </w:rPr>
    </w:pPr>
  </w:p>
  <w:p w:rsidR="00A149AB" w:rsidRPr="003506D2" w:rsidRDefault="00A149AB" w:rsidP="003506D2">
    <w:pPr>
      <w:pStyle w:val="a5"/>
      <w:rPr>
        <w:rFonts w:ascii="Arial" w:hAnsi="Arial" w:cs="Arial"/>
        <w:sz w:val="22"/>
        <w:szCs w:val="22"/>
      </w:rPr>
    </w:pPr>
  </w:p>
  <w:p w:rsidR="00A149AB" w:rsidRPr="003506D2" w:rsidRDefault="00A149AB" w:rsidP="003506D2">
    <w:pPr>
      <w:pStyle w:val="a5"/>
      <w:rPr>
        <w:rFonts w:ascii="Arial" w:hAnsi="Arial" w:cs="Arial"/>
        <w:sz w:val="22"/>
        <w:szCs w:val="22"/>
      </w:rPr>
    </w:pPr>
  </w:p>
  <w:p w:rsidR="00A149AB" w:rsidRPr="003506D2" w:rsidRDefault="00A149AB" w:rsidP="003506D2">
    <w:pPr>
      <w:pStyle w:val="a5"/>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AB" w:rsidRDefault="00A149AB">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AB" w:rsidRDefault="00A149AB">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AB" w:rsidRDefault="00A149AB">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9AB" w:rsidRDefault="00A149A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3F9C"/>
    <w:multiLevelType w:val="hybridMultilevel"/>
    <w:tmpl w:val="FDA0A376"/>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15:restartNumberingAfterBreak="0">
    <w:nsid w:val="339E7842"/>
    <w:multiLevelType w:val="hybridMultilevel"/>
    <w:tmpl w:val="BD0C0F0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 w15:restartNumberingAfterBreak="0">
    <w:nsid w:val="43A713E0"/>
    <w:multiLevelType w:val="hybridMultilevel"/>
    <w:tmpl w:val="5680DFB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 w15:restartNumberingAfterBreak="0">
    <w:nsid w:val="47FC5474"/>
    <w:multiLevelType w:val="hybridMultilevel"/>
    <w:tmpl w:val="800A7EEE"/>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15:restartNumberingAfterBreak="0">
    <w:nsid w:val="4AC64018"/>
    <w:multiLevelType w:val="hybridMultilevel"/>
    <w:tmpl w:val="1904173A"/>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5427145E"/>
    <w:multiLevelType w:val="hybridMultilevel"/>
    <w:tmpl w:val="26DE78BC"/>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15:restartNumberingAfterBreak="0">
    <w:nsid w:val="5DA7116C"/>
    <w:multiLevelType w:val="hybridMultilevel"/>
    <w:tmpl w:val="166A412E"/>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7" w15:restartNumberingAfterBreak="0">
    <w:nsid w:val="65245F0D"/>
    <w:multiLevelType w:val="hybridMultilevel"/>
    <w:tmpl w:val="915AB018"/>
    <w:lvl w:ilvl="0" w:tplc="F8A44914">
      <w:start w:val="1"/>
      <w:numFmt w:val="bullet"/>
      <w:lvlText w:val=""/>
      <w:lvlJc w:val="left"/>
      <w:pPr>
        <w:ind w:left="720" w:hanging="360"/>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45DA0"/>
    <w:multiLevelType w:val="hybridMultilevel"/>
    <w:tmpl w:val="3F0E4A6E"/>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9" w15:restartNumberingAfterBreak="0">
    <w:nsid w:val="67A85BFD"/>
    <w:multiLevelType w:val="hybridMultilevel"/>
    <w:tmpl w:val="A1FCD614"/>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0" w15:restartNumberingAfterBreak="0">
    <w:nsid w:val="6A16278A"/>
    <w:multiLevelType w:val="hybridMultilevel"/>
    <w:tmpl w:val="2736BBD8"/>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1" w15:restartNumberingAfterBreak="0">
    <w:nsid w:val="77CD5644"/>
    <w:multiLevelType w:val="hybridMultilevel"/>
    <w:tmpl w:val="5FAC9DE4"/>
    <w:lvl w:ilvl="0" w:tplc="0408000D">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10"/>
  </w:num>
  <w:num w:numId="2">
    <w:abstractNumId w:val="1"/>
  </w:num>
  <w:num w:numId="3">
    <w:abstractNumId w:val="6"/>
  </w:num>
  <w:num w:numId="4">
    <w:abstractNumId w:val="5"/>
  </w:num>
  <w:num w:numId="5">
    <w:abstractNumId w:val="2"/>
  </w:num>
  <w:num w:numId="6">
    <w:abstractNumId w:val="8"/>
  </w:num>
  <w:num w:numId="7">
    <w:abstractNumId w:val="4"/>
  </w:num>
  <w:num w:numId="8">
    <w:abstractNumId w:val="9"/>
  </w:num>
  <w:num w:numId="9">
    <w:abstractNumId w:val="0"/>
  </w:num>
  <w:num w:numId="10">
    <w:abstractNumId w:val="3"/>
  </w:num>
  <w:num w:numId="11">
    <w:abstractNumId w:val="11"/>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3DF"/>
    <w:rsid w:val="0000266D"/>
    <w:rsid w:val="00004189"/>
    <w:rsid w:val="00004C87"/>
    <w:rsid w:val="00012256"/>
    <w:rsid w:val="00014975"/>
    <w:rsid w:val="00014FBB"/>
    <w:rsid w:val="00016E03"/>
    <w:rsid w:val="00024CC9"/>
    <w:rsid w:val="00030FD9"/>
    <w:rsid w:val="00032C39"/>
    <w:rsid w:val="0003365A"/>
    <w:rsid w:val="00041B4F"/>
    <w:rsid w:val="0004484B"/>
    <w:rsid w:val="00044A8E"/>
    <w:rsid w:val="00045418"/>
    <w:rsid w:val="00045752"/>
    <w:rsid w:val="00047A1E"/>
    <w:rsid w:val="00047EA1"/>
    <w:rsid w:val="000524C4"/>
    <w:rsid w:val="00053AC7"/>
    <w:rsid w:val="000544D9"/>
    <w:rsid w:val="00055A9A"/>
    <w:rsid w:val="00055C78"/>
    <w:rsid w:val="000565DD"/>
    <w:rsid w:val="0006356E"/>
    <w:rsid w:val="00064B23"/>
    <w:rsid w:val="000651AF"/>
    <w:rsid w:val="00070498"/>
    <w:rsid w:val="000709E1"/>
    <w:rsid w:val="00077504"/>
    <w:rsid w:val="000826EE"/>
    <w:rsid w:val="00084671"/>
    <w:rsid w:val="00090814"/>
    <w:rsid w:val="00090D99"/>
    <w:rsid w:val="000935E1"/>
    <w:rsid w:val="00093BB2"/>
    <w:rsid w:val="0009412C"/>
    <w:rsid w:val="00094E3E"/>
    <w:rsid w:val="00097AF3"/>
    <w:rsid w:val="000A192C"/>
    <w:rsid w:val="000A29B3"/>
    <w:rsid w:val="000A42DB"/>
    <w:rsid w:val="000B44BF"/>
    <w:rsid w:val="000B4C84"/>
    <w:rsid w:val="000B5DCE"/>
    <w:rsid w:val="000B6CAD"/>
    <w:rsid w:val="000C1A49"/>
    <w:rsid w:val="000C5897"/>
    <w:rsid w:val="000C6DC6"/>
    <w:rsid w:val="000D2B68"/>
    <w:rsid w:val="000D3A09"/>
    <w:rsid w:val="000D5AA6"/>
    <w:rsid w:val="000D6402"/>
    <w:rsid w:val="000D6471"/>
    <w:rsid w:val="000D6C23"/>
    <w:rsid w:val="000E5FDB"/>
    <w:rsid w:val="000E6BFE"/>
    <w:rsid w:val="000F0B34"/>
    <w:rsid w:val="000F126F"/>
    <w:rsid w:val="000F132F"/>
    <w:rsid w:val="000F13E8"/>
    <w:rsid w:val="000F1D81"/>
    <w:rsid w:val="001006E5"/>
    <w:rsid w:val="00100A33"/>
    <w:rsid w:val="00101AFC"/>
    <w:rsid w:val="001021AD"/>
    <w:rsid w:val="00102B39"/>
    <w:rsid w:val="001038A5"/>
    <w:rsid w:val="001058ED"/>
    <w:rsid w:val="00105FEE"/>
    <w:rsid w:val="001065DA"/>
    <w:rsid w:val="00112117"/>
    <w:rsid w:val="00112A35"/>
    <w:rsid w:val="00112AC7"/>
    <w:rsid w:val="00113D01"/>
    <w:rsid w:val="00113FF0"/>
    <w:rsid w:val="00114CC7"/>
    <w:rsid w:val="00121467"/>
    <w:rsid w:val="001308CF"/>
    <w:rsid w:val="00132823"/>
    <w:rsid w:val="001332AE"/>
    <w:rsid w:val="001418E7"/>
    <w:rsid w:val="00144CB0"/>
    <w:rsid w:val="00144FE1"/>
    <w:rsid w:val="0015634B"/>
    <w:rsid w:val="00156853"/>
    <w:rsid w:val="00156EBE"/>
    <w:rsid w:val="00156F3A"/>
    <w:rsid w:val="0015712B"/>
    <w:rsid w:val="00171C2D"/>
    <w:rsid w:val="00176C4F"/>
    <w:rsid w:val="00180837"/>
    <w:rsid w:val="001832CD"/>
    <w:rsid w:val="00186F43"/>
    <w:rsid w:val="00190591"/>
    <w:rsid w:val="001916D9"/>
    <w:rsid w:val="00193637"/>
    <w:rsid w:val="00194426"/>
    <w:rsid w:val="001961F3"/>
    <w:rsid w:val="00197F1F"/>
    <w:rsid w:val="001A1E85"/>
    <w:rsid w:val="001A260B"/>
    <w:rsid w:val="001B0439"/>
    <w:rsid w:val="001B12BB"/>
    <w:rsid w:val="001B1FB1"/>
    <w:rsid w:val="001B4C86"/>
    <w:rsid w:val="001B510C"/>
    <w:rsid w:val="001B5531"/>
    <w:rsid w:val="001B6037"/>
    <w:rsid w:val="001C371E"/>
    <w:rsid w:val="001C59B5"/>
    <w:rsid w:val="001C7C16"/>
    <w:rsid w:val="001D11B6"/>
    <w:rsid w:val="001D3A9B"/>
    <w:rsid w:val="001D4798"/>
    <w:rsid w:val="001D6B0E"/>
    <w:rsid w:val="001E115A"/>
    <w:rsid w:val="001E179B"/>
    <w:rsid w:val="001E3148"/>
    <w:rsid w:val="001E5129"/>
    <w:rsid w:val="001F1683"/>
    <w:rsid w:val="001F1B9E"/>
    <w:rsid w:val="001F2B44"/>
    <w:rsid w:val="001F4FB0"/>
    <w:rsid w:val="00202BAF"/>
    <w:rsid w:val="00207BAA"/>
    <w:rsid w:val="0021160A"/>
    <w:rsid w:val="00212895"/>
    <w:rsid w:val="00213939"/>
    <w:rsid w:val="00214255"/>
    <w:rsid w:val="00216651"/>
    <w:rsid w:val="002252C0"/>
    <w:rsid w:val="00226B16"/>
    <w:rsid w:val="00232F11"/>
    <w:rsid w:val="00235106"/>
    <w:rsid w:val="00235A1C"/>
    <w:rsid w:val="00237B13"/>
    <w:rsid w:val="002419A0"/>
    <w:rsid w:val="00244101"/>
    <w:rsid w:val="00246FF9"/>
    <w:rsid w:val="00247F2B"/>
    <w:rsid w:val="00250935"/>
    <w:rsid w:val="002526A5"/>
    <w:rsid w:val="00253B1B"/>
    <w:rsid w:val="00255D28"/>
    <w:rsid w:val="00256220"/>
    <w:rsid w:val="00256843"/>
    <w:rsid w:val="00257F20"/>
    <w:rsid w:val="002617E7"/>
    <w:rsid w:val="0026382D"/>
    <w:rsid w:val="00263CCC"/>
    <w:rsid w:val="00264CF4"/>
    <w:rsid w:val="0026516C"/>
    <w:rsid w:val="00265B5C"/>
    <w:rsid w:val="00266E90"/>
    <w:rsid w:val="002741BC"/>
    <w:rsid w:val="00275610"/>
    <w:rsid w:val="002759EB"/>
    <w:rsid w:val="0027631D"/>
    <w:rsid w:val="002869B1"/>
    <w:rsid w:val="00292E8B"/>
    <w:rsid w:val="002931B4"/>
    <w:rsid w:val="002967C2"/>
    <w:rsid w:val="002A35F0"/>
    <w:rsid w:val="002A5A7B"/>
    <w:rsid w:val="002A6E10"/>
    <w:rsid w:val="002B3330"/>
    <w:rsid w:val="002B7BC9"/>
    <w:rsid w:val="002C6135"/>
    <w:rsid w:val="002C7210"/>
    <w:rsid w:val="002D378E"/>
    <w:rsid w:val="002D3A63"/>
    <w:rsid w:val="002E1004"/>
    <w:rsid w:val="002E36E9"/>
    <w:rsid w:val="002E3EFC"/>
    <w:rsid w:val="002E5DD3"/>
    <w:rsid w:val="002F36A2"/>
    <w:rsid w:val="002F642D"/>
    <w:rsid w:val="002F76D1"/>
    <w:rsid w:val="00301740"/>
    <w:rsid w:val="003019C0"/>
    <w:rsid w:val="0030458D"/>
    <w:rsid w:val="0030775F"/>
    <w:rsid w:val="00310CC1"/>
    <w:rsid w:val="00312F23"/>
    <w:rsid w:val="00315D87"/>
    <w:rsid w:val="00317116"/>
    <w:rsid w:val="003204E2"/>
    <w:rsid w:val="00321815"/>
    <w:rsid w:val="00322EB4"/>
    <w:rsid w:val="003231FF"/>
    <w:rsid w:val="00324A6F"/>
    <w:rsid w:val="0033212F"/>
    <w:rsid w:val="00333D32"/>
    <w:rsid w:val="00334F8F"/>
    <w:rsid w:val="00335EF0"/>
    <w:rsid w:val="00342C4A"/>
    <w:rsid w:val="00343832"/>
    <w:rsid w:val="0034590B"/>
    <w:rsid w:val="00345C8B"/>
    <w:rsid w:val="003463DA"/>
    <w:rsid w:val="00350242"/>
    <w:rsid w:val="003506D2"/>
    <w:rsid w:val="0035127F"/>
    <w:rsid w:val="00351801"/>
    <w:rsid w:val="00352B7C"/>
    <w:rsid w:val="003554D4"/>
    <w:rsid w:val="0035629F"/>
    <w:rsid w:val="00356F58"/>
    <w:rsid w:val="0035719E"/>
    <w:rsid w:val="00360BB0"/>
    <w:rsid w:val="00361B4F"/>
    <w:rsid w:val="00363CB6"/>
    <w:rsid w:val="0036738C"/>
    <w:rsid w:val="00367F0E"/>
    <w:rsid w:val="00370435"/>
    <w:rsid w:val="00372E08"/>
    <w:rsid w:val="003765C4"/>
    <w:rsid w:val="00377285"/>
    <w:rsid w:val="00384084"/>
    <w:rsid w:val="00384526"/>
    <w:rsid w:val="00387974"/>
    <w:rsid w:val="003908C1"/>
    <w:rsid w:val="0039175F"/>
    <w:rsid w:val="00391CC4"/>
    <w:rsid w:val="003937A7"/>
    <w:rsid w:val="00393F36"/>
    <w:rsid w:val="00394A9A"/>
    <w:rsid w:val="003A0B7F"/>
    <w:rsid w:val="003A3EB5"/>
    <w:rsid w:val="003A6417"/>
    <w:rsid w:val="003A642F"/>
    <w:rsid w:val="003B0ED9"/>
    <w:rsid w:val="003B38A3"/>
    <w:rsid w:val="003B4110"/>
    <w:rsid w:val="003B577F"/>
    <w:rsid w:val="003B7244"/>
    <w:rsid w:val="003B76F2"/>
    <w:rsid w:val="003B7961"/>
    <w:rsid w:val="003C105D"/>
    <w:rsid w:val="003C1CFA"/>
    <w:rsid w:val="003C1E34"/>
    <w:rsid w:val="003C4B95"/>
    <w:rsid w:val="003C7FD9"/>
    <w:rsid w:val="003D5932"/>
    <w:rsid w:val="003D598E"/>
    <w:rsid w:val="003D79B0"/>
    <w:rsid w:val="003E3F4D"/>
    <w:rsid w:val="003E40A5"/>
    <w:rsid w:val="003E7FD4"/>
    <w:rsid w:val="003F2A7C"/>
    <w:rsid w:val="003F2BDF"/>
    <w:rsid w:val="003F61E9"/>
    <w:rsid w:val="003F7271"/>
    <w:rsid w:val="004005AE"/>
    <w:rsid w:val="00401FF5"/>
    <w:rsid w:val="00402079"/>
    <w:rsid w:val="00402683"/>
    <w:rsid w:val="00402FFA"/>
    <w:rsid w:val="004047B5"/>
    <w:rsid w:val="00412254"/>
    <w:rsid w:val="00414E12"/>
    <w:rsid w:val="00415717"/>
    <w:rsid w:val="004163D0"/>
    <w:rsid w:val="004220D1"/>
    <w:rsid w:val="0042763F"/>
    <w:rsid w:val="00434FDD"/>
    <w:rsid w:val="0043517B"/>
    <w:rsid w:val="00442E06"/>
    <w:rsid w:val="0044417C"/>
    <w:rsid w:val="00445367"/>
    <w:rsid w:val="00451784"/>
    <w:rsid w:val="004557D7"/>
    <w:rsid w:val="00456A85"/>
    <w:rsid w:val="00466266"/>
    <w:rsid w:val="004715E9"/>
    <w:rsid w:val="004730E8"/>
    <w:rsid w:val="0047400F"/>
    <w:rsid w:val="00474BEE"/>
    <w:rsid w:val="004761F9"/>
    <w:rsid w:val="00476A81"/>
    <w:rsid w:val="00476D3C"/>
    <w:rsid w:val="004777D5"/>
    <w:rsid w:val="00483294"/>
    <w:rsid w:val="004834A2"/>
    <w:rsid w:val="004841CE"/>
    <w:rsid w:val="0048530C"/>
    <w:rsid w:val="0048746C"/>
    <w:rsid w:val="0049522E"/>
    <w:rsid w:val="00496B2A"/>
    <w:rsid w:val="00497C41"/>
    <w:rsid w:val="004A01BC"/>
    <w:rsid w:val="004A0D3A"/>
    <w:rsid w:val="004A2266"/>
    <w:rsid w:val="004A34FA"/>
    <w:rsid w:val="004A3D5A"/>
    <w:rsid w:val="004A70C7"/>
    <w:rsid w:val="004A7895"/>
    <w:rsid w:val="004A7DA3"/>
    <w:rsid w:val="004B037F"/>
    <w:rsid w:val="004B03D1"/>
    <w:rsid w:val="004B198A"/>
    <w:rsid w:val="004B22B7"/>
    <w:rsid w:val="004B4DE7"/>
    <w:rsid w:val="004B5E59"/>
    <w:rsid w:val="004B67B5"/>
    <w:rsid w:val="004C48E6"/>
    <w:rsid w:val="004C610A"/>
    <w:rsid w:val="004C64C4"/>
    <w:rsid w:val="004C70CE"/>
    <w:rsid w:val="004D0EE1"/>
    <w:rsid w:val="004D20D6"/>
    <w:rsid w:val="004F1381"/>
    <w:rsid w:val="004F5314"/>
    <w:rsid w:val="004F6CAE"/>
    <w:rsid w:val="005018E8"/>
    <w:rsid w:val="00502001"/>
    <w:rsid w:val="00503C91"/>
    <w:rsid w:val="0050501C"/>
    <w:rsid w:val="005077E1"/>
    <w:rsid w:val="00514888"/>
    <w:rsid w:val="00515793"/>
    <w:rsid w:val="005157F3"/>
    <w:rsid w:val="005162F5"/>
    <w:rsid w:val="0052159C"/>
    <w:rsid w:val="00523C3C"/>
    <w:rsid w:val="00525797"/>
    <w:rsid w:val="00525929"/>
    <w:rsid w:val="00525E7F"/>
    <w:rsid w:val="005262D8"/>
    <w:rsid w:val="00531965"/>
    <w:rsid w:val="005357F1"/>
    <w:rsid w:val="00535A78"/>
    <w:rsid w:val="0053644B"/>
    <w:rsid w:val="00536A1A"/>
    <w:rsid w:val="00537B03"/>
    <w:rsid w:val="00540EA6"/>
    <w:rsid w:val="005416A0"/>
    <w:rsid w:val="00541A30"/>
    <w:rsid w:val="00546F3F"/>
    <w:rsid w:val="005476CB"/>
    <w:rsid w:val="005502C2"/>
    <w:rsid w:val="005525E5"/>
    <w:rsid w:val="00552668"/>
    <w:rsid w:val="005529C7"/>
    <w:rsid w:val="00555B5F"/>
    <w:rsid w:val="00562CCA"/>
    <w:rsid w:val="005649C6"/>
    <w:rsid w:val="0057206B"/>
    <w:rsid w:val="00573BE5"/>
    <w:rsid w:val="00575902"/>
    <w:rsid w:val="005759FC"/>
    <w:rsid w:val="00576847"/>
    <w:rsid w:val="00576ABC"/>
    <w:rsid w:val="005812A6"/>
    <w:rsid w:val="005824A8"/>
    <w:rsid w:val="00582D22"/>
    <w:rsid w:val="005849EE"/>
    <w:rsid w:val="00586019"/>
    <w:rsid w:val="00586333"/>
    <w:rsid w:val="00586D07"/>
    <w:rsid w:val="00587FFA"/>
    <w:rsid w:val="00590295"/>
    <w:rsid w:val="00595C7D"/>
    <w:rsid w:val="005A4028"/>
    <w:rsid w:val="005A6978"/>
    <w:rsid w:val="005A7958"/>
    <w:rsid w:val="005B22A4"/>
    <w:rsid w:val="005B4BF6"/>
    <w:rsid w:val="005B644D"/>
    <w:rsid w:val="005B7D7F"/>
    <w:rsid w:val="005C02EA"/>
    <w:rsid w:val="005C1358"/>
    <w:rsid w:val="005D1490"/>
    <w:rsid w:val="005D16F6"/>
    <w:rsid w:val="005D2609"/>
    <w:rsid w:val="005D3081"/>
    <w:rsid w:val="005E4998"/>
    <w:rsid w:val="005E4C6B"/>
    <w:rsid w:val="005E6853"/>
    <w:rsid w:val="005E6DC2"/>
    <w:rsid w:val="005F0E61"/>
    <w:rsid w:val="005F493E"/>
    <w:rsid w:val="005F4F73"/>
    <w:rsid w:val="00600203"/>
    <w:rsid w:val="00602DDB"/>
    <w:rsid w:val="00603769"/>
    <w:rsid w:val="00605AEE"/>
    <w:rsid w:val="006065B5"/>
    <w:rsid w:val="00606B3E"/>
    <w:rsid w:val="00606EE8"/>
    <w:rsid w:val="00614F01"/>
    <w:rsid w:val="00620C86"/>
    <w:rsid w:val="00621154"/>
    <w:rsid w:val="00622784"/>
    <w:rsid w:val="00635E18"/>
    <w:rsid w:val="00636875"/>
    <w:rsid w:val="00640BF1"/>
    <w:rsid w:val="0064159A"/>
    <w:rsid w:val="00641B8B"/>
    <w:rsid w:val="00642357"/>
    <w:rsid w:val="0064360C"/>
    <w:rsid w:val="0064474A"/>
    <w:rsid w:val="006472CB"/>
    <w:rsid w:val="0064795C"/>
    <w:rsid w:val="00647BE1"/>
    <w:rsid w:val="006553E2"/>
    <w:rsid w:val="00656F26"/>
    <w:rsid w:val="006619F0"/>
    <w:rsid w:val="00661C78"/>
    <w:rsid w:val="00663931"/>
    <w:rsid w:val="006673C6"/>
    <w:rsid w:val="00670839"/>
    <w:rsid w:val="00671919"/>
    <w:rsid w:val="00674D8A"/>
    <w:rsid w:val="0067551A"/>
    <w:rsid w:val="006851FD"/>
    <w:rsid w:val="00685A75"/>
    <w:rsid w:val="006876B2"/>
    <w:rsid w:val="00687B12"/>
    <w:rsid w:val="00691016"/>
    <w:rsid w:val="006949A7"/>
    <w:rsid w:val="00695028"/>
    <w:rsid w:val="00696F4E"/>
    <w:rsid w:val="006A3F94"/>
    <w:rsid w:val="006A4687"/>
    <w:rsid w:val="006A4F5A"/>
    <w:rsid w:val="006A5455"/>
    <w:rsid w:val="006B2268"/>
    <w:rsid w:val="006B245F"/>
    <w:rsid w:val="006B4C56"/>
    <w:rsid w:val="006B570B"/>
    <w:rsid w:val="006C333F"/>
    <w:rsid w:val="006C45D7"/>
    <w:rsid w:val="006C47D8"/>
    <w:rsid w:val="006C7368"/>
    <w:rsid w:val="006D01D4"/>
    <w:rsid w:val="006D0CA0"/>
    <w:rsid w:val="006D1CE9"/>
    <w:rsid w:val="006D4592"/>
    <w:rsid w:val="006D6F7B"/>
    <w:rsid w:val="006D73D4"/>
    <w:rsid w:val="006D7F81"/>
    <w:rsid w:val="006E08FB"/>
    <w:rsid w:val="006E0B83"/>
    <w:rsid w:val="006E3DC2"/>
    <w:rsid w:val="006E4E88"/>
    <w:rsid w:val="006F1862"/>
    <w:rsid w:val="006F24F9"/>
    <w:rsid w:val="006F2EF8"/>
    <w:rsid w:val="00702EB5"/>
    <w:rsid w:val="00704672"/>
    <w:rsid w:val="00711D21"/>
    <w:rsid w:val="00711F5F"/>
    <w:rsid w:val="007135DF"/>
    <w:rsid w:val="00713F0B"/>
    <w:rsid w:val="007159E9"/>
    <w:rsid w:val="0071705B"/>
    <w:rsid w:val="00720570"/>
    <w:rsid w:val="00720849"/>
    <w:rsid w:val="00720892"/>
    <w:rsid w:val="0072137D"/>
    <w:rsid w:val="00722933"/>
    <w:rsid w:val="00726162"/>
    <w:rsid w:val="00726427"/>
    <w:rsid w:val="00726470"/>
    <w:rsid w:val="00727093"/>
    <w:rsid w:val="00730400"/>
    <w:rsid w:val="00730B29"/>
    <w:rsid w:val="00730C1F"/>
    <w:rsid w:val="007323BC"/>
    <w:rsid w:val="00732662"/>
    <w:rsid w:val="007337BD"/>
    <w:rsid w:val="00737439"/>
    <w:rsid w:val="0073773C"/>
    <w:rsid w:val="00743900"/>
    <w:rsid w:val="00743AF3"/>
    <w:rsid w:val="00747BBF"/>
    <w:rsid w:val="0075005E"/>
    <w:rsid w:val="00751123"/>
    <w:rsid w:val="00751887"/>
    <w:rsid w:val="007550D1"/>
    <w:rsid w:val="0075636C"/>
    <w:rsid w:val="00756513"/>
    <w:rsid w:val="00756B9F"/>
    <w:rsid w:val="00757270"/>
    <w:rsid w:val="00760975"/>
    <w:rsid w:val="00762095"/>
    <w:rsid w:val="007625E3"/>
    <w:rsid w:val="00763613"/>
    <w:rsid w:val="00763E26"/>
    <w:rsid w:val="007647C0"/>
    <w:rsid w:val="0077094D"/>
    <w:rsid w:val="00773A64"/>
    <w:rsid w:val="00775F6A"/>
    <w:rsid w:val="00775FB5"/>
    <w:rsid w:val="007762B5"/>
    <w:rsid w:val="00777970"/>
    <w:rsid w:val="007814DB"/>
    <w:rsid w:val="00783881"/>
    <w:rsid w:val="00787E08"/>
    <w:rsid w:val="00791AA2"/>
    <w:rsid w:val="00792AFF"/>
    <w:rsid w:val="00795070"/>
    <w:rsid w:val="007966B3"/>
    <w:rsid w:val="007A008F"/>
    <w:rsid w:val="007A2718"/>
    <w:rsid w:val="007A28F7"/>
    <w:rsid w:val="007A2AE6"/>
    <w:rsid w:val="007A360D"/>
    <w:rsid w:val="007A5CAF"/>
    <w:rsid w:val="007A74F8"/>
    <w:rsid w:val="007B13DF"/>
    <w:rsid w:val="007B25E2"/>
    <w:rsid w:val="007B74B3"/>
    <w:rsid w:val="007C16BC"/>
    <w:rsid w:val="007C4D9D"/>
    <w:rsid w:val="007C6046"/>
    <w:rsid w:val="007C77C4"/>
    <w:rsid w:val="007C7A23"/>
    <w:rsid w:val="007C7C9D"/>
    <w:rsid w:val="007D10CD"/>
    <w:rsid w:val="007D2296"/>
    <w:rsid w:val="007D36F9"/>
    <w:rsid w:val="007D397A"/>
    <w:rsid w:val="007D3ABF"/>
    <w:rsid w:val="007D5488"/>
    <w:rsid w:val="007E3AC2"/>
    <w:rsid w:val="007E5C75"/>
    <w:rsid w:val="007E71A8"/>
    <w:rsid w:val="007F3E14"/>
    <w:rsid w:val="007F562A"/>
    <w:rsid w:val="00800DA0"/>
    <w:rsid w:val="0080146B"/>
    <w:rsid w:val="00801D48"/>
    <w:rsid w:val="00802A05"/>
    <w:rsid w:val="00804C01"/>
    <w:rsid w:val="0080504F"/>
    <w:rsid w:val="0080505C"/>
    <w:rsid w:val="0080629F"/>
    <w:rsid w:val="00806ABC"/>
    <w:rsid w:val="00810E59"/>
    <w:rsid w:val="008115D1"/>
    <w:rsid w:val="00812642"/>
    <w:rsid w:val="008136AA"/>
    <w:rsid w:val="00822F62"/>
    <w:rsid w:val="0082397E"/>
    <w:rsid w:val="00823ECE"/>
    <w:rsid w:val="00833C71"/>
    <w:rsid w:val="00836B3E"/>
    <w:rsid w:val="00845855"/>
    <w:rsid w:val="008477D2"/>
    <w:rsid w:val="008507F9"/>
    <w:rsid w:val="0085115D"/>
    <w:rsid w:val="0085693D"/>
    <w:rsid w:val="0086219D"/>
    <w:rsid w:val="008648A7"/>
    <w:rsid w:val="008651A2"/>
    <w:rsid w:val="008737B6"/>
    <w:rsid w:val="00874993"/>
    <w:rsid w:val="00875156"/>
    <w:rsid w:val="00880694"/>
    <w:rsid w:val="00881285"/>
    <w:rsid w:val="00881E17"/>
    <w:rsid w:val="008827D6"/>
    <w:rsid w:val="00883BD8"/>
    <w:rsid w:val="00887C7B"/>
    <w:rsid w:val="00892F51"/>
    <w:rsid w:val="0089735C"/>
    <w:rsid w:val="008B64BE"/>
    <w:rsid w:val="008B73D9"/>
    <w:rsid w:val="008B76FD"/>
    <w:rsid w:val="008C0F8E"/>
    <w:rsid w:val="008C249A"/>
    <w:rsid w:val="008C4755"/>
    <w:rsid w:val="008C6842"/>
    <w:rsid w:val="008D6254"/>
    <w:rsid w:val="008D6B42"/>
    <w:rsid w:val="008D6B6E"/>
    <w:rsid w:val="008E1379"/>
    <w:rsid w:val="008E159B"/>
    <w:rsid w:val="008E1A74"/>
    <w:rsid w:val="008E204F"/>
    <w:rsid w:val="008F3263"/>
    <w:rsid w:val="008F3A60"/>
    <w:rsid w:val="008F406F"/>
    <w:rsid w:val="008F489A"/>
    <w:rsid w:val="00901471"/>
    <w:rsid w:val="00902440"/>
    <w:rsid w:val="0090275E"/>
    <w:rsid w:val="00902A0B"/>
    <w:rsid w:val="00911F7C"/>
    <w:rsid w:val="009127D3"/>
    <w:rsid w:val="00912F4D"/>
    <w:rsid w:val="00917343"/>
    <w:rsid w:val="009200E3"/>
    <w:rsid w:val="00926B76"/>
    <w:rsid w:val="009272BC"/>
    <w:rsid w:val="0092751B"/>
    <w:rsid w:val="00942BB3"/>
    <w:rsid w:val="009448EF"/>
    <w:rsid w:val="009463DA"/>
    <w:rsid w:val="00947E8B"/>
    <w:rsid w:val="00950F12"/>
    <w:rsid w:val="009532FB"/>
    <w:rsid w:val="009542E4"/>
    <w:rsid w:val="00960E32"/>
    <w:rsid w:val="00960F2E"/>
    <w:rsid w:val="00966DC6"/>
    <w:rsid w:val="00970455"/>
    <w:rsid w:val="00972CCF"/>
    <w:rsid w:val="00974788"/>
    <w:rsid w:val="00976220"/>
    <w:rsid w:val="009766D8"/>
    <w:rsid w:val="00977329"/>
    <w:rsid w:val="009809CE"/>
    <w:rsid w:val="00980A82"/>
    <w:rsid w:val="00980CDC"/>
    <w:rsid w:val="00981035"/>
    <w:rsid w:val="0098634E"/>
    <w:rsid w:val="00987B8F"/>
    <w:rsid w:val="00996F8E"/>
    <w:rsid w:val="009A06C2"/>
    <w:rsid w:val="009A4A4B"/>
    <w:rsid w:val="009A5FD9"/>
    <w:rsid w:val="009A71F1"/>
    <w:rsid w:val="009B115D"/>
    <w:rsid w:val="009B2F72"/>
    <w:rsid w:val="009B37B2"/>
    <w:rsid w:val="009B619A"/>
    <w:rsid w:val="009C3302"/>
    <w:rsid w:val="009C6ABE"/>
    <w:rsid w:val="009C6D6F"/>
    <w:rsid w:val="009D1C0F"/>
    <w:rsid w:val="009D2A5D"/>
    <w:rsid w:val="009D6A6F"/>
    <w:rsid w:val="009E3195"/>
    <w:rsid w:val="009E45E8"/>
    <w:rsid w:val="009E6A0E"/>
    <w:rsid w:val="009E6EB2"/>
    <w:rsid w:val="009E738C"/>
    <w:rsid w:val="009E761E"/>
    <w:rsid w:val="009F1ECA"/>
    <w:rsid w:val="009F265C"/>
    <w:rsid w:val="009F5D51"/>
    <w:rsid w:val="009F6C7A"/>
    <w:rsid w:val="00A032D2"/>
    <w:rsid w:val="00A0392A"/>
    <w:rsid w:val="00A073DB"/>
    <w:rsid w:val="00A12EF0"/>
    <w:rsid w:val="00A131AE"/>
    <w:rsid w:val="00A140FF"/>
    <w:rsid w:val="00A149AB"/>
    <w:rsid w:val="00A1501A"/>
    <w:rsid w:val="00A15DB4"/>
    <w:rsid w:val="00A1694C"/>
    <w:rsid w:val="00A22A65"/>
    <w:rsid w:val="00A2303E"/>
    <w:rsid w:val="00A258EC"/>
    <w:rsid w:val="00A3789E"/>
    <w:rsid w:val="00A41206"/>
    <w:rsid w:val="00A42336"/>
    <w:rsid w:val="00A423AF"/>
    <w:rsid w:val="00A4364F"/>
    <w:rsid w:val="00A447BC"/>
    <w:rsid w:val="00A46847"/>
    <w:rsid w:val="00A52886"/>
    <w:rsid w:val="00A53C64"/>
    <w:rsid w:val="00A56D2D"/>
    <w:rsid w:val="00A575F7"/>
    <w:rsid w:val="00A63052"/>
    <w:rsid w:val="00A63ED0"/>
    <w:rsid w:val="00A64D4E"/>
    <w:rsid w:val="00A67715"/>
    <w:rsid w:val="00A70118"/>
    <w:rsid w:val="00A70963"/>
    <w:rsid w:val="00A7384F"/>
    <w:rsid w:val="00A7452B"/>
    <w:rsid w:val="00A760D1"/>
    <w:rsid w:val="00A77F0D"/>
    <w:rsid w:val="00A82FAC"/>
    <w:rsid w:val="00A84301"/>
    <w:rsid w:val="00A87F09"/>
    <w:rsid w:val="00A90843"/>
    <w:rsid w:val="00AA3025"/>
    <w:rsid w:val="00AA5806"/>
    <w:rsid w:val="00AA777E"/>
    <w:rsid w:val="00AB3CEB"/>
    <w:rsid w:val="00AB6ACF"/>
    <w:rsid w:val="00AB767D"/>
    <w:rsid w:val="00AC200E"/>
    <w:rsid w:val="00AC3611"/>
    <w:rsid w:val="00AC5AFA"/>
    <w:rsid w:val="00AC7B5E"/>
    <w:rsid w:val="00AC7C1D"/>
    <w:rsid w:val="00AD031F"/>
    <w:rsid w:val="00AD14E8"/>
    <w:rsid w:val="00AD347C"/>
    <w:rsid w:val="00AD4562"/>
    <w:rsid w:val="00AD64DF"/>
    <w:rsid w:val="00AF27E6"/>
    <w:rsid w:val="00AF314A"/>
    <w:rsid w:val="00AF70CE"/>
    <w:rsid w:val="00B0095A"/>
    <w:rsid w:val="00B02CCA"/>
    <w:rsid w:val="00B10990"/>
    <w:rsid w:val="00B1422C"/>
    <w:rsid w:val="00B145E1"/>
    <w:rsid w:val="00B149A6"/>
    <w:rsid w:val="00B15719"/>
    <w:rsid w:val="00B17FDA"/>
    <w:rsid w:val="00B21CDE"/>
    <w:rsid w:val="00B229E7"/>
    <w:rsid w:val="00B25EDB"/>
    <w:rsid w:val="00B324AB"/>
    <w:rsid w:val="00B32765"/>
    <w:rsid w:val="00B327AC"/>
    <w:rsid w:val="00B340CE"/>
    <w:rsid w:val="00B3432C"/>
    <w:rsid w:val="00B34338"/>
    <w:rsid w:val="00B34E6E"/>
    <w:rsid w:val="00B3587C"/>
    <w:rsid w:val="00B40088"/>
    <w:rsid w:val="00B45ADA"/>
    <w:rsid w:val="00B45E8E"/>
    <w:rsid w:val="00B45F92"/>
    <w:rsid w:val="00B478CE"/>
    <w:rsid w:val="00B479B9"/>
    <w:rsid w:val="00B516DF"/>
    <w:rsid w:val="00B51FE7"/>
    <w:rsid w:val="00B531B1"/>
    <w:rsid w:val="00B54C5A"/>
    <w:rsid w:val="00B56F15"/>
    <w:rsid w:val="00B60E04"/>
    <w:rsid w:val="00B61B53"/>
    <w:rsid w:val="00B626B8"/>
    <w:rsid w:val="00B65499"/>
    <w:rsid w:val="00B658FE"/>
    <w:rsid w:val="00B735FA"/>
    <w:rsid w:val="00B73794"/>
    <w:rsid w:val="00B73BBB"/>
    <w:rsid w:val="00B75C2B"/>
    <w:rsid w:val="00B82D0D"/>
    <w:rsid w:val="00B84BA5"/>
    <w:rsid w:val="00B97009"/>
    <w:rsid w:val="00BA3252"/>
    <w:rsid w:val="00BA57FE"/>
    <w:rsid w:val="00BB07F2"/>
    <w:rsid w:val="00BB1411"/>
    <w:rsid w:val="00BB1C71"/>
    <w:rsid w:val="00BB1FB5"/>
    <w:rsid w:val="00BB4991"/>
    <w:rsid w:val="00BC09EA"/>
    <w:rsid w:val="00BC1B3F"/>
    <w:rsid w:val="00BC2FF3"/>
    <w:rsid w:val="00BC3D7D"/>
    <w:rsid w:val="00BC5177"/>
    <w:rsid w:val="00BD4409"/>
    <w:rsid w:val="00BE193C"/>
    <w:rsid w:val="00BE1F78"/>
    <w:rsid w:val="00BE214B"/>
    <w:rsid w:val="00BE2324"/>
    <w:rsid w:val="00BE5E90"/>
    <w:rsid w:val="00BF22ED"/>
    <w:rsid w:val="00BF3669"/>
    <w:rsid w:val="00BF51FA"/>
    <w:rsid w:val="00C001B8"/>
    <w:rsid w:val="00C03D02"/>
    <w:rsid w:val="00C04271"/>
    <w:rsid w:val="00C132AD"/>
    <w:rsid w:val="00C15018"/>
    <w:rsid w:val="00C216F8"/>
    <w:rsid w:val="00C2626C"/>
    <w:rsid w:val="00C264F0"/>
    <w:rsid w:val="00C32AB0"/>
    <w:rsid w:val="00C34DED"/>
    <w:rsid w:val="00C36C5C"/>
    <w:rsid w:val="00C40B20"/>
    <w:rsid w:val="00C424C7"/>
    <w:rsid w:val="00C4596E"/>
    <w:rsid w:val="00C45DA9"/>
    <w:rsid w:val="00C50156"/>
    <w:rsid w:val="00C51461"/>
    <w:rsid w:val="00C539BA"/>
    <w:rsid w:val="00C53DB2"/>
    <w:rsid w:val="00C569B8"/>
    <w:rsid w:val="00C60ED3"/>
    <w:rsid w:val="00C62125"/>
    <w:rsid w:val="00C626CB"/>
    <w:rsid w:val="00C632F4"/>
    <w:rsid w:val="00C73817"/>
    <w:rsid w:val="00C74D88"/>
    <w:rsid w:val="00C74E45"/>
    <w:rsid w:val="00C75F51"/>
    <w:rsid w:val="00C761DE"/>
    <w:rsid w:val="00C76513"/>
    <w:rsid w:val="00C81B94"/>
    <w:rsid w:val="00C82386"/>
    <w:rsid w:val="00C82A08"/>
    <w:rsid w:val="00C82EF6"/>
    <w:rsid w:val="00C85F09"/>
    <w:rsid w:val="00C86575"/>
    <w:rsid w:val="00C866DF"/>
    <w:rsid w:val="00C94267"/>
    <w:rsid w:val="00C95C9F"/>
    <w:rsid w:val="00C97A80"/>
    <w:rsid w:val="00C97D48"/>
    <w:rsid w:val="00CA0D37"/>
    <w:rsid w:val="00CA2367"/>
    <w:rsid w:val="00CA307D"/>
    <w:rsid w:val="00CA6146"/>
    <w:rsid w:val="00CA737B"/>
    <w:rsid w:val="00CB1991"/>
    <w:rsid w:val="00CB63C7"/>
    <w:rsid w:val="00CC3B40"/>
    <w:rsid w:val="00CC478F"/>
    <w:rsid w:val="00CC6B96"/>
    <w:rsid w:val="00CC747A"/>
    <w:rsid w:val="00CD4A50"/>
    <w:rsid w:val="00CD58F7"/>
    <w:rsid w:val="00CE03DA"/>
    <w:rsid w:val="00CE3C1E"/>
    <w:rsid w:val="00CE4D55"/>
    <w:rsid w:val="00CF08D6"/>
    <w:rsid w:val="00CF1586"/>
    <w:rsid w:val="00CF57A4"/>
    <w:rsid w:val="00D03E27"/>
    <w:rsid w:val="00D0757D"/>
    <w:rsid w:val="00D10CCA"/>
    <w:rsid w:val="00D2100C"/>
    <w:rsid w:val="00D22245"/>
    <w:rsid w:val="00D26CEE"/>
    <w:rsid w:val="00D2764C"/>
    <w:rsid w:val="00D340A4"/>
    <w:rsid w:val="00D3458A"/>
    <w:rsid w:val="00D3586D"/>
    <w:rsid w:val="00D35D71"/>
    <w:rsid w:val="00D36CDD"/>
    <w:rsid w:val="00D40212"/>
    <w:rsid w:val="00D40E27"/>
    <w:rsid w:val="00D440A4"/>
    <w:rsid w:val="00D45B91"/>
    <w:rsid w:val="00D50140"/>
    <w:rsid w:val="00D55EFC"/>
    <w:rsid w:val="00D61C33"/>
    <w:rsid w:val="00D71343"/>
    <w:rsid w:val="00D72D1D"/>
    <w:rsid w:val="00D7335A"/>
    <w:rsid w:val="00D748D1"/>
    <w:rsid w:val="00D76E8D"/>
    <w:rsid w:val="00D8052E"/>
    <w:rsid w:val="00D8385E"/>
    <w:rsid w:val="00D83F86"/>
    <w:rsid w:val="00D846BF"/>
    <w:rsid w:val="00D84711"/>
    <w:rsid w:val="00D862A9"/>
    <w:rsid w:val="00D867E8"/>
    <w:rsid w:val="00D903FB"/>
    <w:rsid w:val="00DA0BAF"/>
    <w:rsid w:val="00DA29B3"/>
    <w:rsid w:val="00DA31FC"/>
    <w:rsid w:val="00DA7659"/>
    <w:rsid w:val="00DB2916"/>
    <w:rsid w:val="00DB60D5"/>
    <w:rsid w:val="00DB73BE"/>
    <w:rsid w:val="00DC2910"/>
    <w:rsid w:val="00DC73B8"/>
    <w:rsid w:val="00DD015A"/>
    <w:rsid w:val="00DD055A"/>
    <w:rsid w:val="00DE04BB"/>
    <w:rsid w:val="00DE19B3"/>
    <w:rsid w:val="00DE4593"/>
    <w:rsid w:val="00DE7CAE"/>
    <w:rsid w:val="00DF2BB1"/>
    <w:rsid w:val="00DF4DBB"/>
    <w:rsid w:val="00DF4E27"/>
    <w:rsid w:val="00DF5032"/>
    <w:rsid w:val="00DF67BD"/>
    <w:rsid w:val="00DF6E17"/>
    <w:rsid w:val="00E02FD2"/>
    <w:rsid w:val="00E05991"/>
    <w:rsid w:val="00E0633F"/>
    <w:rsid w:val="00E10888"/>
    <w:rsid w:val="00E12DFB"/>
    <w:rsid w:val="00E147F6"/>
    <w:rsid w:val="00E14FFB"/>
    <w:rsid w:val="00E17246"/>
    <w:rsid w:val="00E202E5"/>
    <w:rsid w:val="00E21405"/>
    <w:rsid w:val="00E24828"/>
    <w:rsid w:val="00E26592"/>
    <w:rsid w:val="00E309AA"/>
    <w:rsid w:val="00E37AA2"/>
    <w:rsid w:val="00E42549"/>
    <w:rsid w:val="00E44418"/>
    <w:rsid w:val="00E44C4A"/>
    <w:rsid w:val="00E47EDF"/>
    <w:rsid w:val="00E52633"/>
    <w:rsid w:val="00E564B5"/>
    <w:rsid w:val="00E61FEE"/>
    <w:rsid w:val="00E628B7"/>
    <w:rsid w:val="00E6295C"/>
    <w:rsid w:val="00E65C49"/>
    <w:rsid w:val="00E6601E"/>
    <w:rsid w:val="00E6753D"/>
    <w:rsid w:val="00E71A9C"/>
    <w:rsid w:val="00E75D58"/>
    <w:rsid w:val="00E76EF3"/>
    <w:rsid w:val="00E853EF"/>
    <w:rsid w:val="00E85E69"/>
    <w:rsid w:val="00E86F8A"/>
    <w:rsid w:val="00E87A98"/>
    <w:rsid w:val="00E95FF1"/>
    <w:rsid w:val="00EA17C8"/>
    <w:rsid w:val="00EA3266"/>
    <w:rsid w:val="00EA458D"/>
    <w:rsid w:val="00EA51F2"/>
    <w:rsid w:val="00EA7128"/>
    <w:rsid w:val="00EB1141"/>
    <w:rsid w:val="00EB2101"/>
    <w:rsid w:val="00EB2225"/>
    <w:rsid w:val="00EB264D"/>
    <w:rsid w:val="00EB50A8"/>
    <w:rsid w:val="00EC06F3"/>
    <w:rsid w:val="00EC21EE"/>
    <w:rsid w:val="00EC64FD"/>
    <w:rsid w:val="00EC6C6D"/>
    <w:rsid w:val="00EC6DA0"/>
    <w:rsid w:val="00ED00F5"/>
    <w:rsid w:val="00ED1BD1"/>
    <w:rsid w:val="00ED35A4"/>
    <w:rsid w:val="00ED4669"/>
    <w:rsid w:val="00EE0025"/>
    <w:rsid w:val="00EE0CD5"/>
    <w:rsid w:val="00EE246B"/>
    <w:rsid w:val="00EE5733"/>
    <w:rsid w:val="00EE57E6"/>
    <w:rsid w:val="00EE5C92"/>
    <w:rsid w:val="00EE5D1B"/>
    <w:rsid w:val="00EE63C5"/>
    <w:rsid w:val="00EF0C92"/>
    <w:rsid w:val="00EF28E4"/>
    <w:rsid w:val="00EF6D27"/>
    <w:rsid w:val="00EF756E"/>
    <w:rsid w:val="00F02180"/>
    <w:rsid w:val="00F02822"/>
    <w:rsid w:val="00F0440E"/>
    <w:rsid w:val="00F10FB7"/>
    <w:rsid w:val="00F119AD"/>
    <w:rsid w:val="00F125A1"/>
    <w:rsid w:val="00F139DC"/>
    <w:rsid w:val="00F14887"/>
    <w:rsid w:val="00F14C81"/>
    <w:rsid w:val="00F155F4"/>
    <w:rsid w:val="00F17164"/>
    <w:rsid w:val="00F1745A"/>
    <w:rsid w:val="00F21CC8"/>
    <w:rsid w:val="00F2647B"/>
    <w:rsid w:val="00F2719B"/>
    <w:rsid w:val="00F31B8A"/>
    <w:rsid w:val="00F33C01"/>
    <w:rsid w:val="00F346D8"/>
    <w:rsid w:val="00F358BB"/>
    <w:rsid w:val="00F37434"/>
    <w:rsid w:val="00F443BD"/>
    <w:rsid w:val="00F51647"/>
    <w:rsid w:val="00F51FD6"/>
    <w:rsid w:val="00F534D0"/>
    <w:rsid w:val="00F53D21"/>
    <w:rsid w:val="00F62611"/>
    <w:rsid w:val="00F6444F"/>
    <w:rsid w:val="00F6726D"/>
    <w:rsid w:val="00F67482"/>
    <w:rsid w:val="00F7300E"/>
    <w:rsid w:val="00F74122"/>
    <w:rsid w:val="00F75E42"/>
    <w:rsid w:val="00F77FA8"/>
    <w:rsid w:val="00F808D4"/>
    <w:rsid w:val="00F83F93"/>
    <w:rsid w:val="00F83FE4"/>
    <w:rsid w:val="00F85B59"/>
    <w:rsid w:val="00F86817"/>
    <w:rsid w:val="00F86D93"/>
    <w:rsid w:val="00F87410"/>
    <w:rsid w:val="00F92643"/>
    <w:rsid w:val="00F92EA8"/>
    <w:rsid w:val="00F94265"/>
    <w:rsid w:val="00F96815"/>
    <w:rsid w:val="00F97421"/>
    <w:rsid w:val="00FA04DB"/>
    <w:rsid w:val="00FA0511"/>
    <w:rsid w:val="00FA12C0"/>
    <w:rsid w:val="00FA1548"/>
    <w:rsid w:val="00FA16B6"/>
    <w:rsid w:val="00FA1785"/>
    <w:rsid w:val="00FA2E40"/>
    <w:rsid w:val="00FA4D84"/>
    <w:rsid w:val="00FA7E5C"/>
    <w:rsid w:val="00FB30DF"/>
    <w:rsid w:val="00FB63DB"/>
    <w:rsid w:val="00FC0F5F"/>
    <w:rsid w:val="00FC253D"/>
    <w:rsid w:val="00FC27D7"/>
    <w:rsid w:val="00FC44B4"/>
    <w:rsid w:val="00FC48AF"/>
    <w:rsid w:val="00FC71A3"/>
    <w:rsid w:val="00FC7852"/>
    <w:rsid w:val="00FD3142"/>
    <w:rsid w:val="00FD32FA"/>
    <w:rsid w:val="00FD4D95"/>
    <w:rsid w:val="00FD6307"/>
    <w:rsid w:val="00FD663D"/>
    <w:rsid w:val="00FE30F2"/>
    <w:rsid w:val="00FE4A6E"/>
    <w:rsid w:val="00FE6967"/>
    <w:rsid w:val="00FE7A28"/>
    <w:rsid w:val="00FF1998"/>
    <w:rsid w:val="00FF2F42"/>
    <w:rsid w:val="00FF3764"/>
    <w:rsid w:val="00FF52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27970"/>
  <w15:docId w15:val="{815D40B1-4F2E-4F35-BD3B-4C2657EB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B96"/>
    <w:rPr>
      <w:sz w:val="24"/>
      <w:szCs w:val="24"/>
    </w:rPr>
  </w:style>
  <w:style w:type="paragraph" w:styleId="1">
    <w:name w:val="heading 1"/>
    <w:basedOn w:val="a"/>
    <w:next w:val="a"/>
    <w:link w:val="1Char"/>
    <w:qFormat/>
    <w:rsid w:val="00FF2F42"/>
    <w:pPr>
      <w:keepNext/>
      <w:jc w:val="center"/>
      <w:outlineLvl w:val="0"/>
    </w:pPr>
    <w:rPr>
      <w:b/>
      <w:bCs/>
      <w:lang w:val="x-none" w:eastAsia="en-US"/>
    </w:rPr>
  </w:style>
  <w:style w:type="paragraph" w:styleId="2">
    <w:name w:val="heading 2"/>
    <w:basedOn w:val="a"/>
    <w:next w:val="a"/>
    <w:link w:val="2Char"/>
    <w:uiPriority w:val="9"/>
    <w:semiHidden/>
    <w:unhideWhenUsed/>
    <w:qFormat/>
    <w:rsid w:val="00F77FA8"/>
    <w:pPr>
      <w:keepNext/>
      <w:keepLines/>
      <w:spacing w:before="200"/>
      <w:outlineLvl w:val="1"/>
    </w:pPr>
    <w:rPr>
      <w:rFonts w:ascii="Cambria"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uiPriority w:val="39"/>
    <w:rsid w:val="002B3330"/>
    <w:pPr>
      <w:tabs>
        <w:tab w:val="right" w:leader="dot" w:pos="9356"/>
      </w:tabs>
    </w:pPr>
    <w:rPr>
      <w:rFonts w:ascii="Tahoma" w:hAnsi="Tahoma"/>
      <w:sz w:val="20"/>
    </w:rPr>
  </w:style>
  <w:style w:type="table" w:styleId="a3">
    <w:name w:val="Table Grid"/>
    <w:basedOn w:val="a1"/>
    <w:rsid w:val="00DA2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B245F"/>
    <w:rPr>
      <w:rFonts w:ascii="Tahoma" w:hAnsi="Tahoma" w:cs="Tahoma"/>
      <w:sz w:val="16"/>
      <w:szCs w:val="16"/>
    </w:rPr>
  </w:style>
  <w:style w:type="paragraph" w:styleId="a5">
    <w:name w:val="header"/>
    <w:basedOn w:val="a"/>
    <w:link w:val="Char"/>
    <w:qFormat/>
    <w:rsid w:val="002526A5"/>
    <w:pPr>
      <w:tabs>
        <w:tab w:val="center" w:pos="4153"/>
        <w:tab w:val="right" w:pos="8306"/>
      </w:tabs>
    </w:pPr>
    <w:rPr>
      <w:lang w:val="x-none" w:eastAsia="x-none"/>
    </w:rPr>
  </w:style>
  <w:style w:type="paragraph" w:styleId="a6">
    <w:name w:val="footer"/>
    <w:basedOn w:val="a"/>
    <w:link w:val="Char0"/>
    <w:uiPriority w:val="99"/>
    <w:rsid w:val="002526A5"/>
    <w:pPr>
      <w:tabs>
        <w:tab w:val="center" w:pos="4153"/>
        <w:tab w:val="right" w:pos="8306"/>
      </w:tabs>
    </w:pPr>
    <w:rPr>
      <w:lang w:val="x-none" w:eastAsia="x-none"/>
    </w:rPr>
  </w:style>
  <w:style w:type="character" w:styleId="a7">
    <w:name w:val="page number"/>
    <w:basedOn w:val="a0"/>
    <w:rsid w:val="00A41206"/>
  </w:style>
  <w:style w:type="character" w:customStyle="1" w:styleId="FontStyle12">
    <w:name w:val="Font Style12"/>
    <w:uiPriority w:val="99"/>
    <w:rsid w:val="007F3E14"/>
    <w:rPr>
      <w:rFonts w:ascii="Times New Roman" w:hAnsi="Times New Roman" w:cs="Times New Roman"/>
      <w:sz w:val="22"/>
      <w:szCs w:val="22"/>
    </w:rPr>
  </w:style>
  <w:style w:type="character" w:customStyle="1" w:styleId="1Char">
    <w:name w:val="Επικεφαλίδα 1 Char"/>
    <w:link w:val="1"/>
    <w:rsid w:val="00FF2F42"/>
    <w:rPr>
      <w:b/>
      <w:bCs/>
      <w:sz w:val="24"/>
      <w:szCs w:val="24"/>
      <w:lang w:eastAsia="en-US"/>
    </w:rPr>
  </w:style>
  <w:style w:type="paragraph" w:customStyle="1" w:styleId="Style5">
    <w:name w:val="Style5"/>
    <w:basedOn w:val="a"/>
    <w:uiPriority w:val="99"/>
    <w:rsid w:val="00FF2F42"/>
    <w:pPr>
      <w:widowControl w:val="0"/>
      <w:autoSpaceDE w:val="0"/>
      <w:autoSpaceDN w:val="0"/>
      <w:adjustRightInd w:val="0"/>
    </w:pPr>
  </w:style>
  <w:style w:type="character" w:customStyle="1" w:styleId="FontStyle49">
    <w:name w:val="Font Style49"/>
    <w:uiPriority w:val="99"/>
    <w:rsid w:val="00FF2F42"/>
    <w:rPr>
      <w:rFonts w:ascii="Times New Roman" w:hAnsi="Times New Roman" w:cs="Times New Roman"/>
      <w:b/>
      <w:bCs/>
      <w:sz w:val="20"/>
      <w:szCs w:val="20"/>
    </w:rPr>
  </w:style>
  <w:style w:type="character" w:customStyle="1" w:styleId="FontStyle69">
    <w:name w:val="Font Style69"/>
    <w:uiPriority w:val="99"/>
    <w:rsid w:val="00FF2F42"/>
    <w:rPr>
      <w:rFonts w:ascii="Arial Narrow" w:hAnsi="Arial Narrow" w:cs="Arial Narrow"/>
      <w:sz w:val="14"/>
      <w:szCs w:val="14"/>
    </w:rPr>
  </w:style>
  <w:style w:type="paragraph" w:styleId="a8">
    <w:name w:val="No Spacing"/>
    <w:uiPriority w:val="1"/>
    <w:qFormat/>
    <w:rsid w:val="00FF2F42"/>
    <w:rPr>
      <w:sz w:val="24"/>
      <w:szCs w:val="24"/>
    </w:rPr>
  </w:style>
  <w:style w:type="character" w:styleId="a9">
    <w:name w:val="footnote reference"/>
    <w:unhideWhenUsed/>
    <w:rsid w:val="00FF2F42"/>
    <w:rPr>
      <w:rFonts w:cs="Times New Roman"/>
      <w:vertAlign w:val="superscript"/>
    </w:rPr>
  </w:style>
  <w:style w:type="paragraph" w:customStyle="1" w:styleId="Style7">
    <w:name w:val="Style7"/>
    <w:basedOn w:val="a"/>
    <w:uiPriority w:val="99"/>
    <w:rsid w:val="00FF2F42"/>
    <w:pPr>
      <w:widowControl w:val="0"/>
      <w:autoSpaceDE w:val="0"/>
      <w:autoSpaceDN w:val="0"/>
      <w:adjustRightInd w:val="0"/>
      <w:jc w:val="both"/>
    </w:pPr>
  </w:style>
  <w:style w:type="paragraph" w:customStyle="1" w:styleId="Style4">
    <w:name w:val="Style4"/>
    <w:basedOn w:val="a"/>
    <w:uiPriority w:val="99"/>
    <w:rsid w:val="00FF2F42"/>
    <w:pPr>
      <w:widowControl w:val="0"/>
      <w:autoSpaceDE w:val="0"/>
      <w:autoSpaceDN w:val="0"/>
      <w:adjustRightInd w:val="0"/>
    </w:pPr>
  </w:style>
  <w:style w:type="paragraph" w:customStyle="1" w:styleId="Style10">
    <w:name w:val="Style10"/>
    <w:basedOn w:val="a"/>
    <w:uiPriority w:val="99"/>
    <w:rsid w:val="00FF2F42"/>
    <w:pPr>
      <w:widowControl w:val="0"/>
      <w:autoSpaceDE w:val="0"/>
      <w:autoSpaceDN w:val="0"/>
      <w:adjustRightInd w:val="0"/>
      <w:spacing w:line="269" w:lineRule="exact"/>
      <w:ind w:hanging="1099"/>
    </w:pPr>
  </w:style>
  <w:style w:type="paragraph" w:customStyle="1" w:styleId="Style15">
    <w:name w:val="Style15"/>
    <w:basedOn w:val="a"/>
    <w:uiPriority w:val="99"/>
    <w:rsid w:val="00FF2F42"/>
    <w:pPr>
      <w:widowControl w:val="0"/>
      <w:autoSpaceDE w:val="0"/>
      <w:autoSpaceDN w:val="0"/>
      <w:adjustRightInd w:val="0"/>
    </w:pPr>
  </w:style>
  <w:style w:type="paragraph" w:customStyle="1" w:styleId="Style22">
    <w:name w:val="Style22"/>
    <w:basedOn w:val="a"/>
    <w:uiPriority w:val="99"/>
    <w:rsid w:val="00FF2F42"/>
    <w:pPr>
      <w:widowControl w:val="0"/>
      <w:autoSpaceDE w:val="0"/>
      <w:autoSpaceDN w:val="0"/>
      <w:adjustRightInd w:val="0"/>
      <w:jc w:val="right"/>
    </w:pPr>
  </w:style>
  <w:style w:type="paragraph" w:customStyle="1" w:styleId="Style31">
    <w:name w:val="Style31"/>
    <w:basedOn w:val="a"/>
    <w:uiPriority w:val="99"/>
    <w:rsid w:val="00FF2F42"/>
    <w:pPr>
      <w:widowControl w:val="0"/>
      <w:autoSpaceDE w:val="0"/>
      <w:autoSpaceDN w:val="0"/>
      <w:adjustRightInd w:val="0"/>
    </w:pPr>
  </w:style>
  <w:style w:type="paragraph" w:customStyle="1" w:styleId="Style34">
    <w:name w:val="Style34"/>
    <w:basedOn w:val="a"/>
    <w:uiPriority w:val="99"/>
    <w:rsid w:val="00FF2F42"/>
    <w:pPr>
      <w:widowControl w:val="0"/>
      <w:autoSpaceDE w:val="0"/>
      <w:autoSpaceDN w:val="0"/>
      <w:adjustRightInd w:val="0"/>
      <w:spacing w:line="278" w:lineRule="exact"/>
      <w:jc w:val="right"/>
    </w:pPr>
  </w:style>
  <w:style w:type="paragraph" w:customStyle="1" w:styleId="Style36">
    <w:name w:val="Style36"/>
    <w:basedOn w:val="a"/>
    <w:uiPriority w:val="99"/>
    <w:rsid w:val="00FF2F42"/>
    <w:pPr>
      <w:widowControl w:val="0"/>
      <w:autoSpaceDE w:val="0"/>
      <w:autoSpaceDN w:val="0"/>
      <w:adjustRightInd w:val="0"/>
      <w:spacing w:line="283" w:lineRule="exact"/>
    </w:pPr>
  </w:style>
  <w:style w:type="character" w:customStyle="1" w:styleId="FontStyle60">
    <w:name w:val="Font Style60"/>
    <w:uiPriority w:val="99"/>
    <w:rsid w:val="00FF2F42"/>
    <w:rPr>
      <w:rFonts w:ascii="Times New Roman" w:hAnsi="Times New Roman" w:cs="Times New Roman"/>
      <w:sz w:val="22"/>
      <w:szCs w:val="22"/>
    </w:rPr>
  </w:style>
  <w:style w:type="character" w:customStyle="1" w:styleId="FontStyle61">
    <w:name w:val="Font Style61"/>
    <w:uiPriority w:val="99"/>
    <w:rsid w:val="00FF2F42"/>
    <w:rPr>
      <w:rFonts w:ascii="Calibri" w:hAnsi="Calibri" w:cs="Calibri"/>
      <w:sz w:val="20"/>
      <w:szCs w:val="20"/>
    </w:rPr>
  </w:style>
  <w:style w:type="character" w:customStyle="1" w:styleId="FontStyle62">
    <w:name w:val="Font Style62"/>
    <w:uiPriority w:val="99"/>
    <w:rsid w:val="00FF2F42"/>
    <w:rPr>
      <w:rFonts w:ascii="Calibri" w:hAnsi="Calibri" w:cs="Calibri"/>
      <w:sz w:val="16"/>
      <w:szCs w:val="16"/>
    </w:rPr>
  </w:style>
  <w:style w:type="character" w:customStyle="1" w:styleId="FontStyle56">
    <w:name w:val="Font Style56"/>
    <w:uiPriority w:val="99"/>
    <w:rsid w:val="00FF2F42"/>
    <w:rPr>
      <w:rFonts w:ascii="Book Antiqua" w:hAnsi="Book Antiqua" w:cs="Book Antiqua"/>
      <w:sz w:val="10"/>
      <w:szCs w:val="10"/>
    </w:rPr>
  </w:style>
  <w:style w:type="character" w:customStyle="1" w:styleId="FontStyle57">
    <w:name w:val="Font Style57"/>
    <w:uiPriority w:val="99"/>
    <w:rsid w:val="00FF2F42"/>
    <w:rPr>
      <w:rFonts w:ascii="Palatino Linotype" w:hAnsi="Palatino Linotype" w:cs="Palatino Linotype"/>
      <w:spacing w:val="30"/>
      <w:sz w:val="10"/>
      <w:szCs w:val="10"/>
    </w:rPr>
  </w:style>
  <w:style w:type="character" w:customStyle="1" w:styleId="FontStyle58">
    <w:name w:val="Font Style58"/>
    <w:uiPriority w:val="99"/>
    <w:rsid w:val="00FF2F42"/>
    <w:rPr>
      <w:rFonts w:ascii="Times New Roman" w:hAnsi="Times New Roman" w:cs="Times New Roman"/>
      <w:b/>
      <w:bCs/>
      <w:smallCaps/>
      <w:sz w:val="10"/>
      <w:szCs w:val="10"/>
    </w:rPr>
  </w:style>
  <w:style w:type="character" w:customStyle="1" w:styleId="FontStyle59">
    <w:name w:val="Font Style59"/>
    <w:uiPriority w:val="99"/>
    <w:rsid w:val="00FF2F42"/>
    <w:rPr>
      <w:rFonts w:ascii="Calibri" w:hAnsi="Calibri" w:cs="Calibri"/>
      <w:b/>
      <w:bCs/>
      <w:i/>
      <w:iCs/>
      <w:w w:val="50"/>
      <w:sz w:val="16"/>
      <w:szCs w:val="16"/>
    </w:rPr>
  </w:style>
  <w:style w:type="paragraph" w:styleId="aa">
    <w:name w:val="footnote text"/>
    <w:aliases w:val="Footnote Text Char1,Footnote Text Char2,Footnote Text Char11,Footnote Text Char3,Footnote Text Char4,Footnote Text Char5,Footnote Text Char6,Footnote Text Char12,Footnote Text Char21,Footnote Text Char31,Ch,Char Char Char, Ch"/>
    <w:basedOn w:val="a"/>
    <w:link w:val="Char1"/>
    <w:rsid w:val="00FF2F42"/>
    <w:rPr>
      <w:sz w:val="20"/>
      <w:szCs w:val="20"/>
    </w:rPr>
  </w:style>
  <w:style w:type="character" w:customStyle="1" w:styleId="Char1">
    <w:name w:val="Κείμενο υποσημείωσης Char"/>
    <w:aliases w:val="Footnote Text Char1 Char,Footnote Text Char2 Char,Footnote Text Char11 Char,Footnote Text Char3 Char,Footnote Text Char4 Char,Footnote Text Char5 Char,Footnote Text Char6 Char,Footnote Text Char12 Char,Footnote Text Char21 Char"/>
    <w:basedOn w:val="a0"/>
    <w:link w:val="aa"/>
    <w:rsid w:val="00FF2F42"/>
  </w:style>
  <w:style w:type="paragraph" w:customStyle="1" w:styleId="Style25">
    <w:name w:val="Style25"/>
    <w:basedOn w:val="a"/>
    <w:uiPriority w:val="99"/>
    <w:rsid w:val="00FF2F42"/>
    <w:pPr>
      <w:widowControl w:val="0"/>
      <w:autoSpaceDE w:val="0"/>
      <w:autoSpaceDN w:val="0"/>
      <w:adjustRightInd w:val="0"/>
      <w:spacing w:line="341" w:lineRule="exact"/>
      <w:jc w:val="both"/>
    </w:pPr>
  </w:style>
  <w:style w:type="paragraph" w:customStyle="1" w:styleId="Style27">
    <w:name w:val="Style27"/>
    <w:basedOn w:val="a"/>
    <w:uiPriority w:val="99"/>
    <w:rsid w:val="00FF2F42"/>
    <w:pPr>
      <w:widowControl w:val="0"/>
      <w:autoSpaceDE w:val="0"/>
      <w:autoSpaceDN w:val="0"/>
      <w:adjustRightInd w:val="0"/>
      <w:spacing w:line="269" w:lineRule="exact"/>
      <w:ind w:hanging="1190"/>
    </w:pPr>
  </w:style>
  <w:style w:type="paragraph" w:customStyle="1" w:styleId="Style32">
    <w:name w:val="Style32"/>
    <w:basedOn w:val="a"/>
    <w:uiPriority w:val="99"/>
    <w:rsid w:val="00FF2F42"/>
    <w:pPr>
      <w:widowControl w:val="0"/>
      <w:autoSpaceDE w:val="0"/>
      <w:autoSpaceDN w:val="0"/>
      <w:adjustRightInd w:val="0"/>
    </w:pPr>
  </w:style>
  <w:style w:type="paragraph" w:customStyle="1" w:styleId="Style33">
    <w:name w:val="Style33"/>
    <w:basedOn w:val="a"/>
    <w:uiPriority w:val="99"/>
    <w:rsid w:val="00FF2F42"/>
    <w:pPr>
      <w:widowControl w:val="0"/>
      <w:autoSpaceDE w:val="0"/>
      <w:autoSpaceDN w:val="0"/>
      <w:adjustRightInd w:val="0"/>
      <w:spacing w:line="250" w:lineRule="exact"/>
    </w:pPr>
  </w:style>
  <w:style w:type="character" w:customStyle="1" w:styleId="FontStyle53">
    <w:name w:val="Font Style53"/>
    <w:uiPriority w:val="99"/>
    <w:rsid w:val="00FF2F42"/>
    <w:rPr>
      <w:rFonts w:ascii="Times New Roman" w:hAnsi="Times New Roman" w:cs="Times New Roman"/>
      <w:b/>
      <w:bCs/>
      <w:sz w:val="20"/>
      <w:szCs w:val="20"/>
    </w:rPr>
  </w:style>
  <w:style w:type="character" w:customStyle="1" w:styleId="FontStyle54">
    <w:name w:val="Font Style54"/>
    <w:uiPriority w:val="99"/>
    <w:rsid w:val="00FF2F42"/>
    <w:rPr>
      <w:rFonts w:ascii="Times New Roman" w:hAnsi="Times New Roman" w:cs="Times New Roman"/>
      <w:i/>
      <w:iCs/>
      <w:sz w:val="20"/>
      <w:szCs w:val="20"/>
    </w:rPr>
  </w:style>
  <w:style w:type="character" w:customStyle="1" w:styleId="FontStyle55">
    <w:name w:val="Font Style55"/>
    <w:uiPriority w:val="99"/>
    <w:rsid w:val="00FF2F42"/>
    <w:rPr>
      <w:rFonts w:ascii="Times New Roman" w:hAnsi="Times New Roman" w:cs="Times New Roman"/>
      <w:b/>
      <w:bCs/>
      <w:smallCaps/>
      <w:sz w:val="18"/>
      <w:szCs w:val="18"/>
    </w:rPr>
  </w:style>
  <w:style w:type="character" w:customStyle="1" w:styleId="20">
    <w:name w:val="Υποσημείωση (2)_"/>
    <w:link w:val="21"/>
    <w:locked/>
    <w:rsid w:val="00FF2F42"/>
    <w:rPr>
      <w:rFonts w:ascii="Segoe UI" w:hAnsi="Segoe UI" w:cs="Segoe UI"/>
      <w:sz w:val="21"/>
      <w:szCs w:val="21"/>
      <w:shd w:val="clear" w:color="auto" w:fill="FFFFFF"/>
    </w:rPr>
  </w:style>
  <w:style w:type="paragraph" w:customStyle="1" w:styleId="21">
    <w:name w:val="Υποσημείωση (2)"/>
    <w:basedOn w:val="a"/>
    <w:link w:val="20"/>
    <w:rsid w:val="00FF2F42"/>
    <w:pPr>
      <w:shd w:val="clear" w:color="auto" w:fill="FFFFFF"/>
      <w:spacing w:line="264" w:lineRule="exact"/>
      <w:jc w:val="both"/>
    </w:pPr>
    <w:rPr>
      <w:rFonts w:ascii="Segoe UI" w:hAnsi="Segoe UI"/>
      <w:sz w:val="21"/>
      <w:szCs w:val="21"/>
      <w:lang w:val="x-none" w:eastAsia="x-none"/>
    </w:rPr>
  </w:style>
  <w:style w:type="paragraph" w:styleId="ab">
    <w:name w:val="Body Text"/>
    <w:basedOn w:val="a"/>
    <w:link w:val="Char2"/>
    <w:rsid w:val="00FF2F42"/>
    <w:pPr>
      <w:jc w:val="center"/>
    </w:pPr>
    <w:rPr>
      <w:u w:val="single"/>
      <w:lang w:val="x-none" w:eastAsia="en-US"/>
    </w:rPr>
  </w:style>
  <w:style w:type="character" w:customStyle="1" w:styleId="Char2">
    <w:name w:val="Σώμα κειμένου Char"/>
    <w:link w:val="ab"/>
    <w:rsid w:val="00FF2F42"/>
    <w:rPr>
      <w:sz w:val="24"/>
      <w:szCs w:val="24"/>
      <w:u w:val="single"/>
      <w:lang w:eastAsia="en-US"/>
    </w:rPr>
  </w:style>
  <w:style w:type="paragraph" w:styleId="22">
    <w:name w:val="Body Text 2"/>
    <w:basedOn w:val="a"/>
    <w:link w:val="2Char0"/>
    <w:rsid w:val="00FF2F42"/>
    <w:rPr>
      <w:b/>
      <w:bCs/>
      <w:u w:val="single"/>
      <w:lang w:val="x-none" w:eastAsia="en-US"/>
    </w:rPr>
  </w:style>
  <w:style w:type="character" w:customStyle="1" w:styleId="2Char0">
    <w:name w:val="Σώμα κείμενου 2 Char"/>
    <w:link w:val="22"/>
    <w:rsid w:val="00FF2F42"/>
    <w:rPr>
      <w:b/>
      <w:bCs/>
      <w:sz w:val="24"/>
      <w:szCs w:val="24"/>
      <w:u w:val="single"/>
      <w:lang w:eastAsia="en-US"/>
    </w:rPr>
  </w:style>
  <w:style w:type="paragraph" w:styleId="ac">
    <w:name w:val="Body Text Indent"/>
    <w:basedOn w:val="a"/>
    <w:link w:val="Char3"/>
    <w:rsid w:val="00FF2F42"/>
    <w:pPr>
      <w:ind w:left="720" w:hanging="360"/>
      <w:jc w:val="both"/>
    </w:pPr>
    <w:rPr>
      <w:bCs/>
      <w:iCs/>
      <w:lang w:val="x-none" w:eastAsia="en-US"/>
    </w:rPr>
  </w:style>
  <w:style w:type="character" w:customStyle="1" w:styleId="Char3">
    <w:name w:val="Σώμα κείμενου με εσοχή Char"/>
    <w:link w:val="ac"/>
    <w:rsid w:val="00FF2F42"/>
    <w:rPr>
      <w:bCs/>
      <w:iCs/>
      <w:sz w:val="24"/>
      <w:szCs w:val="24"/>
      <w:lang w:eastAsia="en-US"/>
    </w:rPr>
  </w:style>
  <w:style w:type="paragraph" w:customStyle="1" w:styleId="xl31">
    <w:name w:val="xl31"/>
    <w:basedOn w:val="a"/>
    <w:rsid w:val="00FF2F42"/>
    <w:pPr>
      <w:pBdr>
        <w:bottom w:val="double" w:sz="6" w:space="0" w:color="auto"/>
      </w:pBdr>
      <w:spacing w:before="100" w:beforeAutospacing="1" w:after="100" w:afterAutospacing="1"/>
      <w:jc w:val="right"/>
    </w:pPr>
    <w:rPr>
      <w:rFonts w:eastAsia="Arial Unicode MS"/>
    </w:rPr>
  </w:style>
  <w:style w:type="paragraph" w:styleId="ad">
    <w:name w:val="endnote text"/>
    <w:basedOn w:val="a"/>
    <w:link w:val="Char4"/>
    <w:rsid w:val="00FF2F42"/>
    <w:rPr>
      <w:sz w:val="20"/>
      <w:szCs w:val="20"/>
    </w:rPr>
  </w:style>
  <w:style w:type="character" w:customStyle="1" w:styleId="Char4">
    <w:name w:val="Κείμενο σημείωσης τέλους Char"/>
    <w:basedOn w:val="a0"/>
    <w:link w:val="ad"/>
    <w:rsid w:val="00FF2F42"/>
  </w:style>
  <w:style w:type="character" w:styleId="ae">
    <w:name w:val="endnote reference"/>
    <w:rsid w:val="00FF2F42"/>
    <w:rPr>
      <w:vertAlign w:val="superscript"/>
    </w:rPr>
  </w:style>
  <w:style w:type="paragraph" w:customStyle="1" w:styleId="Style2">
    <w:name w:val="Style2"/>
    <w:basedOn w:val="a"/>
    <w:uiPriority w:val="99"/>
    <w:rsid w:val="00FF2F42"/>
    <w:pPr>
      <w:widowControl w:val="0"/>
      <w:autoSpaceDE w:val="0"/>
      <w:autoSpaceDN w:val="0"/>
      <w:adjustRightInd w:val="0"/>
      <w:spacing w:line="406" w:lineRule="exact"/>
      <w:ind w:hanging="797"/>
      <w:jc w:val="both"/>
    </w:pPr>
  </w:style>
  <w:style w:type="paragraph" w:customStyle="1" w:styleId="Style1">
    <w:name w:val="Style1"/>
    <w:basedOn w:val="a"/>
    <w:uiPriority w:val="99"/>
    <w:rsid w:val="00FF2F42"/>
    <w:pPr>
      <w:widowControl w:val="0"/>
      <w:autoSpaceDE w:val="0"/>
      <w:autoSpaceDN w:val="0"/>
      <w:adjustRightInd w:val="0"/>
      <w:spacing w:line="401" w:lineRule="exact"/>
      <w:jc w:val="both"/>
    </w:pPr>
  </w:style>
  <w:style w:type="paragraph" w:customStyle="1" w:styleId="Style8">
    <w:name w:val="Style8"/>
    <w:basedOn w:val="a"/>
    <w:uiPriority w:val="99"/>
    <w:rsid w:val="00FF2F42"/>
    <w:pPr>
      <w:widowControl w:val="0"/>
      <w:autoSpaceDE w:val="0"/>
      <w:autoSpaceDN w:val="0"/>
      <w:adjustRightInd w:val="0"/>
      <w:jc w:val="both"/>
    </w:pPr>
  </w:style>
  <w:style w:type="paragraph" w:customStyle="1" w:styleId="Style9">
    <w:name w:val="Style9"/>
    <w:basedOn w:val="a"/>
    <w:uiPriority w:val="99"/>
    <w:rsid w:val="00FF2F42"/>
    <w:pPr>
      <w:widowControl w:val="0"/>
      <w:autoSpaceDE w:val="0"/>
      <w:autoSpaceDN w:val="0"/>
      <w:adjustRightInd w:val="0"/>
      <w:spacing w:line="285" w:lineRule="exact"/>
    </w:pPr>
  </w:style>
  <w:style w:type="paragraph" w:customStyle="1" w:styleId="Style12">
    <w:name w:val="Style12"/>
    <w:basedOn w:val="a"/>
    <w:uiPriority w:val="99"/>
    <w:rsid w:val="00FF2F42"/>
    <w:pPr>
      <w:widowControl w:val="0"/>
      <w:autoSpaceDE w:val="0"/>
      <w:autoSpaceDN w:val="0"/>
      <w:adjustRightInd w:val="0"/>
      <w:spacing w:line="283" w:lineRule="exact"/>
      <w:jc w:val="right"/>
    </w:pPr>
  </w:style>
  <w:style w:type="paragraph" w:styleId="af">
    <w:name w:val="Block Text"/>
    <w:aliases w:val="Τμήμα κείμενου"/>
    <w:basedOn w:val="a"/>
    <w:rsid w:val="00FF2F42"/>
    <w:pPr>
      <w:ind w:left="-720" w:right="-1074"/>
      <w:jc w:val="both"/>
    </w:pPr>
    <w:rPr>
      <w:lang w:eastAsia="en-US"/>
    </w:rPr>
  </w:style>
  <w:style w:type="paragraph" w:customStyle="1" w:styleId="Style11">
    <w:name w:val="Style11"/>
    <w:basedOn w:val="a"/>
    <w:uiPriority w:val="99"/>
    <w:rsid w:val="00FF2F42"/>
    <w:pPr>
      <w:widowControl w:val="0"/>
      <w:autoSpaceDE w:val="0"/>
      <w:autoSpaceDN w:val="0"/>
      <w:adjustRightInd w:val="0"/>
      <w:spacing w:line="403" w:lineRule="exact"/>
      <w:ind w:hanging="826"/>
      <w:jc w:val="both"/>
    </w:pPr>
  </w:style>
  <w:style w:type="paragraph" w:customStyle="1" w:styleId="Style20">
    <w:name w:val="Style20"/>
    <w:basedOn w:val="a"/>
    <w:uiPriority w:val="99"/>
    <w:rsid w:val="00FF2F42"/>
    <w:pPr>
      <w:widowControl w:val="0"/>
      <w:autoSpaceDE w:val="0"/>
      <w:autoSpaceDN w:val="0"/>
      <w:adjustRightInd w:val="0"/>
      <w:jc w:val="center"/>
    </w:pPr>
  </w:style>
  <w:style w:type="character" w:customStyle="1" w:styleId="FontStyle64">
    <w:name w:val="Font Style64"/>
    <w:uiPriority w:val="99"/>
    <w:rsid w:val="00FF2F42"/>
    <w:rPr>
      <w:rFonts w:ascii="Times New Roman" w:hAnsi="Times New Roman" w:cs="Times New Roman"/>
      <w:b/>
      <w:bCs/>
      <w:sz w:val="22"/>
      <w:szCs w:val="22"/>
    </w:rPr>
  </w:style>
  <w:style w:type="paragraph" w:customStyle="1" w:styleId="Style37">
    <w:name w:val="Style37"/>
    <w:basedOn w:val="a"/>
    <w:uiPriority w:val="99"/>
    <w:rsid w:val="00FF2F42"/>
    <w:pPr>
      <w:widowControl w:val="0"/>
      <w:autoSpaceDE w:val="0"/>
      <w:autoSpaceDN w:val="0"/>
      <w:adjustRightInd w:val="0"/>
      <w:spacing w:line="403" w:lineRule="exact"/>
      <w:ind w:hanging="547"/>
      <w:jc w:val="both"/>
    </w:pPr>
  </w:style>
  <w:style w:type="paragraph" w:customStyle="1" w:styleId="Style40">
    <w:name w:val="Style40"/>
    <w:basedOn w:val="a"/>
    <w:uiPriority w:val="99"/>
    <w:rsid w:val="00FF2F42"/>
    <w:pPr>
      <w:widowControl w:val="0"/>
      <w:autoSpaceDE w:val="0"/>
      <w:autoSpaceDN w:val="0"/>
      <w:adjustRightInd w:val="0"/>
    </w:pPr>
  </w:style>
  <w:style w:type="character" w:customStyle="1" w:styleId="FontStyle63">
    <w:name w:val="Font Style63"/>
    <w:uiPriority w:val="99"/>
    <w:rsid w:val="00FF2F42"/>
    <w:rPr>
      <w:rFonts w:ascii="Calibri" w:hAnsi="Calibri" w:cs="Calibri"/>
      <w:b/>
      <w:bCs/>
      <w:sz w:val="16"/>
      <w:szCs w:val="16"/>
    </w:rPr>
  </w:style>
  <w:style w:type="paragraph" w:customStyle="1" w:styleId="Style56">
    <w:name w:val="Style56"/>
    <w:basedOn w:val="a"/>
    <w:uiPriority w:val="99"/>
    <w:rsid w:val="00FF2F42"/>
    <w:pPr>
      <w:widowControl w:val="0"/>
      <w:autoSpaceDE w:val="0"/>
      <w:autoSpaceDN w:val="0"/>
      <w:adjustRightInd w:val="0"/>
      <w:spacing w:line="406" w:lineRule="exact"/>
      <w:ind w:hanging="408"/>
      <w:jc w:val="both"/>
    </w:pPr>
  </w:style>
  <w:style w:type="paragraph" w:customStyle="1" w:styleId="Style51">
    <w:name w:val="Style51"/>
    <w:basedOn w:val="a"/>
    <w:uiPriority w:val="99"/>
    <w:rsid w:val="00FF2F42"/>
    <w:pPr>
      <w:widowControl w:val="0"/>
      <w:autoSpaceDE w:val="0"/>
      <w:autoSpaceDN w:val="0"/>
      <w:adjustRightInd w:val="0"/>
    </w:pPr>
  </w:style>
  <w:style w:type="character" w:customStyle="1" w:styleId="Char">
    <w:name w:val="Κεφαλίδα Char"/>
    <w:link w:val="a5"/>
    <w:rsid w:val="00FF2F42"/>
    <w:rPr>
      <w:sz w:val="24"/>
      <w:szCs w:val="24"/>
    </w:rPr>
  </w:style>
  <w:style w:type="paragraph" w:customStyle="1" w:styleId="Style30">
    <w:name w:val="Style30"/>
    <w:basedOn w:val="a"/>
    <w:uiPriority w:val="99"/>
    <w:rsid w:val="00FF2F42"/>
    <w:pPr>
      <w:widowControl w:val="0"/>
      <w:autoSpaceDE w:val="0"/>
      <w:autoSpaceDN w:val="0"/>
      <w:adjustRightInd w:val="0"/>
      <w:spacing w:line="408" w:lineRule="exact"/>
      <w:ind w:hanging="960"/>
      <w:jc w:val="both"/>
    </w:pPr>
  </w:style>
  <w:style w:type="character" w:customStyle="1" w:styleId="Char0">
    <w:name w:val="Υποσέλιδο Char"/>
    <w:link w:val="a6"/>
    <w:uiPriority w:val="99"/>
    <w:rsid w:val="00FF2F42"/>
    <w:rPr>
      <w:sz w:val="24"/>
      <w:szCs w:val="24"/>
    </w:rPr>
  </w:style>
  <w:style w:type="paragraph" w:customStyle="1" w:styleId="Default">
    <w:name w:val="Default"/>
    <w:rsid w:val="00F2647B"/>
    <w:pPr>
      <w:autoSpaceDE w:val="0"/>
      <w:autoSpaceDN w:val="0"/>
      <w:adjustRightInd w:val="0"/>
    </w:pPr>
    <w:rPr>
      <w:rFonts w:ascii="Calibri" w:eastAsia="Calibri" w:hAnsi="Calibri" w:cs="Calibri"/>
      <w:color w:val="000000"/>
      <w:sz w:val="24"/>
      <w:szCs w:val="24"/>
      <w:lang w:eastAsia="en-US"/>
    </w:rPr>
  </w:style>
  <w:style w:type="character" w:styleId="-">
    <w:name w:val="Hyperlink"/>
    <w:uiPriority w:val="99"/>
    <w:unhideWhenUsed/>
    <w:rsid w:val="00AD4562"/>
    <w:rPr>
      <w:color w:val="0000FF"/>
      <w:u w:val="single"/>
    </w:rPr>
  </w:style>
  <w:style w:type="character" w:customStyle="1" w:styleId="2Char">
    <w:name w:val="Επικεφαλίδα 2 Char"/>
    <w:link w:val="2"/>
    <w:uiPriority w:val="9"/>
    <w:semiHidden/>
    <w:rsid w:val="00F77FA8"/>
    <w:rPr>
      <w:rFonts w:ascii="Cambria" w:eastAsia="Times New Roman" w:hAnsi="Cambria" w:cs="Times New Roman"/>
      <w:b/>
      <w:bCs/>
      <w:color w:val="4F81BD"/>
      <w:sz w:val="26"/>
      <w:szCs w:val="26"/>
    </w:rPr>
  </w:style>
  <w:style w:type="paragraph" w:styleId="23">
    <w:name w:val="toc 2"/>
    <w:basedOn w:val="a"/>
    <w:next w:val="a"/>
    <w:autoRedefine/>
    <w:rsid w:val="004A2266"/>
    <w:pPr>
      <w:ind w:left="240"/>
    </w:pPr>
  </w:style>
  <w:style w:type="paragraph" w:styleId="3">
    <w:name w:val="toc 3"/>
    <w:basedOn w:val="a"/>
    <w:next w:val="a"/>
    <w:autoRedefine/>
    <w:rsid w:val="004A2266"/>
    <w:pPr>
      <w:ind w:left="480"/>
    </w:pPr>
  </w:style>
  <w:style w:type="paragraph" w:styleId="af0">
    <w:name w:val="TOC Heading"/>
    <w:basedOn w:val="1"/>
    <w:next w:val="a"/>
    <w:uiPriority w:val="39"/>
    <w:semiHidden/>
    <w:unhideWhenUsed/>
    <w:qFormat/>
    <w:rsid w:val="004A2266"/>
    <w:pPr>
      <w:keepLines/>
      <w:spacing w:before="480" w:line="276" w:lineRule="auto"/>
      <w:jc w:val="left"/>
      <w:outlineLvl w:val="9"/>
    </w:pPr>
    <w:rPr>
      <w:rFonts w:ascii="Cambria" w:hAnsi="Cambria"/>
      <w:color w:val="365F91"/>
      <w:sz w:val="28"/>
      <w:szCs w:val="28"/>
      <w:lang w:eastAsia="el-GR"/>
    </w:rPr>
  </w:style>
  <w:style w:type="character" w:styleId="af1">
    <w:name w:val="Subtle Emphasis"/>
    <w:uiPriority w:val="19"/>
    <w:qFormat/>
    <w:rsid w:val="00523C3C"/>
    <w:rPr>
      <w:i/>
      <w:iCs/>
      <w:color w:val="808080"/>
    </w:rPr>
  </w:style>
  <w:style w:type="character" w:styleId="af2">
    <w:name w:val="Emphasis"/>
    <w:qFormat/>
    <w:rsid w:val="00B478CE"/>
    <w:rPr>
      <w:i/>
      <w:iCs/>
    </w:rPr>
  </w:style>
  <w:style w:type="paragraph" w:customStyle="1" w:styleId="BasicParagraph">
    <w:name w:val="[Basic Paragraph]"/>
    <w:basedOn w:val="a"/>
    <w:uiPriority w:val="99"/>
    <w:rsid w:val="00AA777E"/>
    <w:pPr>
      <w:widowControl w:val="0"/>
      <w:autoSpaceDE w:val="0"/>
      <w:autoSpaceDN w:val="0"/>
      <w:adjustRightInd w:val="0"/>
      <w:spacing w:after="120" w:line="288" w:lineRule="auto"/>
      <w:textAlignment w:val="center"/>
    </w:pPr>
    <w:rPr>
      <w:rFonts w:ascii="MinionPro-Regular" w:hAnsi="MinionPro-Regular" w:cs="MinionPro-Regular"/>
      <w:color w:val="000000"/>
      <w:lang w:val="en-US" w:eastAsia="en-US"/>
    </w:rPr>
  </w:style>
  <w:style w:type="paragraph" w:styleId="af3">
    <w:name w:val="List Paragraph"/>
    <w:basedOn w:val="a"/>
    <w:link w:val="Char5"/>
    <w:uiPriority w:val="34"/>
    <w:qFormat/>
    <w:rsid w:val="00AA777E"/>
    <w:pPr>
      <w:spacing w:after="200" w:line="276" w:lineRule="auto"/>
      <w:ind w:left="720"/>
      <w:contextualSpacing/>
    </w:pPr>
    <w:rPr>
      <w:rFonts w:ascii="Calibri" w:eastAsia="Calibri" w:hAnsi="Calibri"/>
      <w:sz w:val="22"/>
      <w:szCs w:val="22"/>
      <w:lang w:eastAsia="en-US"/>
    </w:rPr>
  </w:style>
  <w:style w:type="character" w:customStyle="1" w:styleId="Char5">
    <w:name w:val="Παράγραφος λίστας Char"/>
    <w:link w:val="af3"/>
    <w:uiPriority w:val="34"/>
    <w:locked/>
    <w:rsid w:val="007C7C9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718">
      <w:bodyDiv w:val="1"/>
      <w:marLeft w:val="0"/>
      <w:marRight w:val="0"/>
      <w:marTop w:val="0"/>
      <w:marBottom w:val="0"/>
      <w:divBdr>
        <w:top w:val="none" w:sz="0" w:space="0" w:color="auto"/>
        <w:left w:val="none" w:sz="0" w:space="0" w:color="auto"/>
        <w:bottom w:val="none" w:sz="0" w:space="0" w:color="auto"/>
        <w:right w:val="none" w:sz="0" w:space="0" w:color="auto"/>
      </w:divBdr>
    </w:div>
    <w:div w:id="15235007">
      <w:bodyDiv w:val="1"/>
      <w:marLeft w:val="0"/>
      <w:marRight w:val="0"/>
      <w:marTop w:val="0"/>
      <w:marBottom w:val="0"/>
      <w:divBdr>
        <w:top w:val="none" w:sz="0" w:space="0" w:color="auto"/>
        <w:left w:val="none" w:sz="0" w:space="0" w:color="auto"/>
        <w:bottom w:val="none" w:sz="0" w:space="0" w:color="auto"/>
        <w:right w:val="none" w:sz="0" w:space="0" w:color="auto"/>
      </w:divBdr>
    </w:div>
    <w:div w:id="17394622">
      <w:bodyDiv w:val="1"/>
      <w:marLeft w:val="0"/>
      <w:marRight w:val="0"/>
      <w:marTop w:val="0"/>
      <w:marBottom w:val="0"/>
      <w:divBdr>
        <w:top w:val="none" w:sz="0" w:space="0" w:color="auto"/>
        <w:left w:val="none" w:sz="0" w:space="0" w:color="auto"/>
        <w:bottom w:val="none" w:sz="0" w:space="0" w:color="auto"/>
        <w:right w:val="none" w:sz="0" w:space="0" w:color="auto"/>
      </w:divBdr>
    </w:div>
    <w:div w:id="34937358">
      <w:bodyDiv w:val="1"/>
      <w:marLeft w:val="0"/>
      <w:marRight w:val="0"/>
      <w:marTop w:val="0"/>
      <w:marBottom w:val="0"/>
      <w:divBdr>
        <w:top w:val="none" w:sz="0" w:space="0" w:color="auto"/>
        <w:left w:val="none" w:sz="0" w:space="0" w:color="auto"/>
        <w:bottom w:val="none" w:sz="0" w:space="0" w:color="auto"/>
        <w:right w:val="none" w:sz="0" w:space="0" w:color="auto"/>
      </w:divBdr>
    </w:div>
    <w:div w:id="43533025">
      <w:bodyDiv w:val="1"/>
      <w:marLeft w:val="0"/>
      <w:marRight w:val="0"/>
      <w:marTop w:val="0"/>
      <w:marBottom w:val="0"/>
      <w:divBdr>
        <w:top w:val="none" w:sz="0" w:space="0" w:color="auto"/>
        <w:left w:val="none" w:sz="0" w:space="0" w:color="auto"/>
        <w:bottom w:val="none" w:sz="0" w:space="0" w:color="auto"/>
        <w:right w:val="none" w:sz="0" w:space="0" w:color="auto"/>
      </w:divBdr>
    </w:div>
    <w:div w:id="56169877">
      <w:bodyDiv w:val="1"/>
      <w:marLeft w:val="0"/>
      <w:marRight w:val="0"/>
      <w:marTop w:val="0"/>
      <w:marBottom w:val="0"/>
      <w:divBdr>
        <w:top w:val="none" w:sz="0" w:space="0" w:color="auto"/>
        <w:left w:val="none" w:sz="0" w:space="0" w:color="auto"/>
        <w:bottom w:val="none" w:sz="0" w:space="0" w:color="auto"/>
        <w:right w:val="none" w:sz="0" w:space="0" w:color="auto"/>
      </w:divBdr>
    </w:div>
    <w:div w:id="69347520">
      <w:bodyDiv w:val="1"/>
      <w:marLeft w:val="0"/>
      <w:marRight w:val="0"/>
      <w:marTop w:val="0"/>
      <w:marBottom w:val="0"/>
      <w:divBdr>
        <w:top w:val="none" w:sz="0" w:space="0" w:color="auto"/>
        <w:left w:val="none" w:sz="0" w:space="0" w:color="auto"/>
        <w:bottom w:val="none" w:sz="0" w:space="0" w:color="auto"/>
        <w:right w:val="none" w:sz="0" w:space="0" w:color="auto"/>
      </w:divBdr>
    </w:div>
    <w:div w:id="82260574">
      <w:bodyDiv w:val="1"/>
      <w:marLeft w:val="0"/>
      <w:marRight w:val="0"/>
      <w:marTop w:val="0"/>
      <w:marBottom w:val="0"/>
      <w:divBdr>
        <w:top w:val="none" w:sz="0" w:space="0" w:color="auto"/>
        <w:left w:val="none" w:sz="0" w:space="0" w:color="auto"/>
        <w:bottom w:val="none" w:sz="0" w:space="0" w:color="auto"/>
        <w:right w:val="none" w:sz="0" w:space="0" w:color="auto"/>
      </w:divBdr>
    </w:div>
    <w:div w:id="85882900">
      <w:bodyDiv w:val="1"/>
      <w:marLeft w:val="0"/>
      <w:marRight w:val="0"/>
      <w:marTop w:val="0"/>
      <w:marBottom w:val="0"/>
      <w:divBdr>
        <w:top w:val="none" w:sz="0" w:space="0" w:color="auto"/>
        <w:left w:val="none" w:sz="0" w:space="0" w:color="auto"/>
        <w:bottom w:val="none" w:sz="0" w:space="0" w:color="auto"/>
        <w:right w:val="none" w:sz="0" w:space="0" w:color="auto"/>
      </w:divBdr>
    </w:div>
    <w:div w:id="111824710">
      <w:bodyDiv w:val="1"/>
      <w:marLeft w:val="0"/>
      <w:marRight w:val="0"/>
      <w:marTop w:val="0"/>
      <w:marBottom w:val="0"/>
      <w:divBdr>
        <w:top w:val="none" w:sz="0" w:space="0" w:color="auto"/>
        <w:left w:val="none" w:sz="0" w:space="0" w:color="auto"/>
        <w:bottom w:val="none" w:sz="0" w:space="0" w:color="auto"/>
        <w:right w:val="none" w:sz="0" w:space="0" w:color="auto"/>
      </w:divBdr>
    </w:div>
    <w:div w:id="121004334">
      <w:bodyDiv w:val="1"/>
      <w:marLeft w:val="0"/>
      <w:marRight w:val="0"/>
      <w:marTop w:val="0"/>
      <w:marBottom w:val="0"/>
      <w:divBdr>
        <w:top w:val="none" w:sz="0" w:space="0" w:color="auto"/>
        <w:left w:val="none" w:sz="0" w:space="0" w:color="auto"/>
        <w:bottom w:val="none" w:sz="0" w:space="0" w:color="auto"/>
        <w:right w:val="none" w:sz="0" w:space="0" w:color="auto"/>
      </w:divBdr>
    </w:div>
    <w:div w:id="147288936">
      <w:bodyDiv w:val="1"/>
      <w:marLeft w:val="0"/>
      <w:marRight w:val="0"/>
      <w:marTop w:val="0"/>
      <w:marBottom w:val="0"/>
      <w:divBdr>
        <w:top w:val="none" w:sz="0" w:space="0" w:color="auto"/>
        <w:left w:val="none" w:sz="0" w:space="0" w:color="auto"/>
        <w:bottom w:val="none" w:sz="0" w:space="0" w:color="auto"/>
        <w:right w:val="none" w:sz="0" w:space="0" w:color="auto"/>
      </w:divBdr>
    </w:div>
    <w:div w:id="167258289">
      <w:bodyDiv w:val="1"/>
      <w:marLeft w:val="0"/>
      <w:marRight w:val="0"/>
      <w:marTop w:val="0"/>
      <w:marBottom w:val="0"/>
      <w:divBdr>
        <w:top w:val="none" w:sz="0" w:space="0" w:color="auto"/>
        <w:left w:val="none" w:sz="0" w:space="0" w:color="auto"/>
        <w:bottom w:val="none" w:sz="0" w:space="0" w:color="auto"/>
        <w:right w:val="none" w:sz="0" w:space="0" w:color="auto"/>
      </w:divBdr>
    </w:div>
    <w:div w:id="189684396">
      <w:bodyDiv w:val="1"/>
      <w:marLeft w:val="0"/>
      <w:marRight w:val="0"/>
      <w:marTop w:val="0"/>
      <w:marBottom w:val="0"/>
      <w:divBdr>
        <w:top w:val="none" w:sz="0" w:space="0" w:color="auto"/>
        <w:left w:val="none" w:sz="0" w:space="0" w:color="auto"/>
        <w:bottom w:val="none" w:sz="0" w:space="0" w:color="auto"/>
        <w:right w:val="none" w:sz="0" w:space="0" w:color="auto"/>
      </w:divBdr>
    </w:div>
    <w:div w:id="200824918">
      <w:bodyDiv w:val="1"/>
      <w:marLeft w:val="0"/>
      <w:marRight w:val="0"/>
      <w:marTop w:val="0"/>
      <w:marBottom w:val="0"/>
      <w:divBdr>
        <w:top w:val="none" w:sz="0" w:space="0" w:color="auto"/>
        <w:left w:val="none" w:sz="0" w:space="0" w:color="auto"/>
        <w:bottom w:val="none" w:sz="0" w:space="0" w:color="auto"/>
        <w:right w:val="none" w:sz="0" w:space="0" w:color="auto"/>
      </w:divBdr>
    </w:div>
    <w:div w:id="253322533">
      <w:bodyDiv w:val="1"/>
      <w:marLeft w:val="0"/>
      <w:marRight w:val="0"/>
      <w:marTop w:val="0"/>
      <w:marBottom w:val="0"/>
      <w:divBdr>
        <w:top w:val="none" w:sz="0" w:space="0" w:color="auto"/>
        <w:left w:val="none" w:sz="0" w:space="0" w:color="auto"/>
        <w:bottom w:val="none" w:sz="0" w:space="0" w:color="auto"/>
        <w:right w:val="none" w:sz="0" w:space="0" w:color="auto"/>
      </w:divBdr>
    </w:div>
    <w:div w:id="260727451">
      <w:bodyDiv w:val="1"/>
      <w:marLeft w:val="0"/>
      <w:marRight w:val="0"/>
      <w:marTop w:val="0"/>
      <w:marBottom w:val="0"/>
      <w:divBdr>
        <w:top w:val="none" w:sz="0" w:space="0" w:color="auto"/>
        <w:left w:val="none" w:sz="0" w:space="0" w:color="auto"/>
        <w:bottom w:val="none" w:sz="0" w:space="0" w:color="auto"/>
        <w:right w:val="none" w:sz="0" w:space="0" w:color="auto"/>
      </w:divBdr>
    </w:div>
    <w:div w:id="272713274">
      <w:bodyDiv w:val="1"/>
      <w:marLeft w:val="0"/>
      <w:marRight w:val="0"/>
      <w:marTop w:val="0"/>
      <w:marBottom w:val="0"/>
      <w:divBdr>
        <w:top w:val="none" w:sz="0" w:space="0" w:color="auto"/>
        <w:left w:val="none" w:sz="0" w:space="0" w:color="auto"/>
        <w:bottom w:val="none" w:sz="0" w:space="0" w:color="auto"/>
        <w:right w:val="none" w:sz="0" w:space="0" w:color="auto"/>
      </w:divBdr>
    </w:div>
    <w:div w:id="278724886">
      <w:bodyDiv w:val="1"/>
      <w:marLeft w:val="0"/>
      <w:marRight w:val="0"/>
      <w:marTop w:val="0"/>
      <w:marBottom w:val="0"/>
      <w:divBdr>
        <w:top w:val="none" w:sz="0" w:space="0" w:color="auto"/>
        <w:left w:val="none" w:sz="0" w:space="0" w:color="auto"/>
        <w:bottom w:val="none" w:sz="0" w:space="0" w:color="auto"/>
        <w:right w:val="none" w:sz="0" w:space="0" w:color="auto"/>
      </w:divBdr>
    </w:div>
    <w:div w:id="346058188">
      <w:bodyDiv w:val="1"/>
      <w:marLeft w:val="0"/>
      <w:marRight w:val="0"/>
      <w:marTop w:val="0"/>
      <w:marBottom w:val="0"/>
      <w:divBdr>
        <w:top w:val="none" w:sz="0" w:space="0" w:color="auto"/>
        <w:left w:val="none" w:sz="0" w:space="0" w:color="auto"/>
        <w:bottom w:val="none" w:sz="0" w:space="0" w:color="auto"/>
        <w:right w:val="none" w:sz="0" w:space="0" w:color="auto"/>
      </w:divBdr>
    </w:div>
    <w:div w:id="350452315">
      <w:bodyDiv w:val="1"/>
      <w:marLeft w:val="0"/>
      <w:marRight w:val="0"/>
      <w:marTop w:val="0"/>
      <w:marBottom w:val="0"/>
      <w:divBdr>
        <w:top w:val="none" w:sz="0" w:space="0" w:color="auto"/>
        <w:left w:val="none" w:sz="0" w:space="0" w:color="auto"/>
        <w:bottom w:val="none" w:sz="0" w:space="0" w:color="auto"/>
        <w:right w:val="none" w:sz="0" w:space="0" w:color="auto"/>
      </w:divBdr>
    </w:div>
    <w:div w:id="370689228">
      <w:bodyDiv w:val="1"/>
      <w:marLeft w:val="0"/>
      <w:marRight w:val="0"/>
      <w:marTop w:val="0"/>
      <w:marBottom w:val="0"/>
      <w:divBdr>
        <w:top w:val="none" w:sz="0" w:space="0" w:color="auto"/>
        <w:left w:val="none" w:sz="0" w:space="0" w:color="auto"/>
        <w:bottom w:val="none" w:sz="0" w:space="0" w:color="auto"/>
        <w:right w:val="none" w:sz="0" w:space="0" w:color="auto"/>
      </w:divBdr>
    </w:div>
    <w:div w:id="371541868">
      <w:bodyDiv w:val="1"/>
      <w:marLeft w:val="0"/>
      <w:marRight w:val="0"/>
      <w:marTop w:val="0"/>
      <w:marBottom w:val="0"/>
      <w:divBdr>
        <w:top w:val="none" w:sz="0" w:space="0" w:color="auto"/>
        <w:left w:val="none" w:sz="0" w:space="0" w:color="auto"/>
        <w:bottom w:val="none" w:sz="0" w:space="0" w:color="auto"/>
        <w:right w:val="none" w:sz="0" w:space="0" w:color="auto"/>
      </w:divBdr>
    </w:div>
    <w:div w:id="386221312">
      <w:bodyDiv w:val="1"/>
      <w:marLeft w:val="0"/>
      <w:marRight w:val="0"/>
      <w:marTop w:val="0"/>
      <w:marBottom w:val="0"/>
      <w:divBdr>
        <w:top w:val="none" w:sz="0" w:space="0" w:color="auto"/>
        <w:left w:val="none" w:sz="0" w:space="0" w:color="auto"/>
        <w:bottom w:val="none" w:sz="0" w:space="0" w:color="auto"/>
        <w:right w:val="none" w:sz="0" w:space="0" w:color="auto"/>
      </w:divBdr>
    </w:div>
    <w:div w:id="439225703">
      <w:bodyDiv w:val="1"/>
      <w:marLeft w:val="0"/>
      <w:marRight w:val="0"/>
      <w:marTop w:val="0"/>
      <w:marBottom w:val="0"/>
      <w:divBdr>
        <w:top w:val="none" w:sz="0" w:space="0" w:color="auto"/>
        <w:left w:val="none" w:sz="0" w:space="0" w:color="auto"/>
        <w:bottom w:val="none" w:sz="0" w:space="0" w:color="auto"/>
        <w:right w:val="none" w:sz="0" w:space="0" w:color="auto"/>
      </w:divBdr>
    </w:div>
    <w:div w:id="452332444">
      <w:bodyDiv w:val="1"/>
      <w:marLeft w:val="0"/>
      <w:marRight w:val="0"/>
      <w:marTop w:val="0"/>
      <w:marBottom w:val="0"/>
      <w:divBdr>
        <w:top w:val="none" w:sz="0" w:space="0" w:color="auto"/>
        <w:left w:val="none" w:sz="0" w:space="0" w:color="auto"/>
        <w:bottom w:val="none" w:sz="0" w:space="0" w:color="auto"/>
        <w:right w:val="none" w:sz="0" w:space="0" w:color="auto"/>
      </w:divBdr>
    </w:div>
    <w:div w:id="460004792">
      <w:bodyDiv w:val="1"/>
      <w:marLeft w:val="0"/>
      <w:marRight w:val="0"/>
      <w:marTop w:val="0"/>
      <w:marBottom w:val="0"/>
      <w:divBdr>
        <w:top w:val="none" w:sz="0" w:space="0" w:color="auto"/>
        <w:left w:val="none" w:sz="0" w:space="0" w:color="auto"/>
        <w:bottom w:val="none" w:sz="0" w:space="0" w:color="auto"/>
        <w:right w:val="none" w:sz="0" w:space="0" w:color="auto"/>
      </w:divBdr>
    </w:div>
    <w:div w:id="496503845">
      <w:bodyDiv w:val="1"/>
      <w:marLeft w:val="0"/>
      <w:marRight w:val="0"/>
      <w:marTop w:val="0"/>
      <w:marBottom w:val="0"/>
      <w:divBdr>
        <w:top w:val="none" w:sz="0" w:space="0" w:color="auto"/>
        <w:left w:val="none" w:sz="0" w:space="0" w:color="auto"/>
        <w:bottom w:val="none" w:sz="0" w:space="0" w:color="auto"/>
        <w:right w:val="none" w:sz="0" w:space="0" w:color="auto"/>
      </w:divBdr>
    </w:div>
    <w:div w:id="525018930">
      <w:bodyDiv w:val="1"/>
      <w:marLeft w:val="0"/>
      <w:marRight w:val="0"/>
      <w:marTop w:val="0"/>
      <w:marBottom w:val="0"/>
      <w:divBdr>
        <w:top w:val="none" w:sz="0" w:space="0" w:color="auto"/>
        <w:left w:val="none" w:sz="0" w:space="0" w:color="auto"/>
        <w:bottom w:val="none" w:sz="0" w:space="0" w:color="auto"/>
        <w:right w:val="none" w:sz="0" w:space="0" w:color="auto"/>
      </w:divBdr>
    </w:div>
    <w:div w:id="541212227">
      <w:bodyDiv w:val="1"/>
      <w:marLeft w:val="0"/>
      <w:marRight w:val="0"/>
      <w:marTop w:val="0"/>
      <w:marBottom w:val="0"/>
      <w:divBdr>
        <w:top w:val="none" w:sz="0" w:space="0" w:color="auto"/>
        <w:left w:val="none" w:sz="0" w:space="0" w:color="auto"/>
        <w:bottom w:val="none" w:sz="0" w:space="0" w:color="auto"/>
        <w:right w:val="none" w:sz="0" w:space="0" w:color="auto"/>
      </w:divBdr>
    </w:div>
    <w:div w:id="560142833">
      <w:bodyDiv w:val="1"/>
      <w:marLeft w:val="0"/>
      <w:marRight w:val="0"/>
      <w:marTop w:val="0"/>
      <w:marBottom w:val="0"/>
      <w:divBdr>
        <w:top w:val="none" w:sz="0" w:space="0" w:color="auto"/>
        <w:left w:val="none" w:sz="0" w:space="0" w:color="auto"/>
        <w:bottom w:val="none" w:sz="0" w:space="0" w:color="auto"/>
        <w:right w:val="none" w:sz="0" w:space="0" w:color="auto"/>
      </w:divBdr>
    </w:div>
    <w:div w:id="562371592">
      <w:bodyDiv w:val="1"/>
      <w:marLeft w:val="0"/>
      <w:marRight w:val="0"/>
      <w:marTop w:val="0"/>
      <w:marBottom w:val="0"/>
      <w:divBdr>
        <w:top w:val="none" w:sz="0" w:space="0" w:color="auto"/>
        <w:left w:val="none" w:sz="0" w:space="0" w:color="auto"/>
        <w:bottom w:val="none" w:sz="0" w:space="0" w:color="auto"/>
        <w:right w:val="none" w:sz="0" w:space="0" w:color="auto"/>
      </w:divBdr>
    </w:div>
    <w:div w:id="579170314">
      <w:bodyDiv w:val="1"/>
      <w:marLeft w:val="0"/>
      <w:marRight w:val="0"/>
      <w:marTop w:val="0"/>
      <w:marBottom w:val="0"/>
      <w:divBdr>
        <w:top w:val="none" w:sz="0" w:space="0" w:color="auto"/>
        <w:left w:val="none" w:sz="0" w:space="0" w:color="auto"/>
        <w:bottom w:val="none" w:sz="0" w:space="0" w:color="auto"/>
        <w:right w:val="none" w:sz="0" w:space="0" w:color="auto"/>
      </w:divBdr>
    </w:div>
    <w:div w:id="588735415">
      <w:bodyDiv w:val="1"/>
      <w:marLeft w:val="0"/>
      <w:marRight w:val="0"/>
      <w:marTop w:val="0"/>
      <w:marBottom w:val="0"/>
      <w:divBdr>
        <w:top w:val="none" w:sz="0" w:space="0" w:color="auto"/>
        <w:left w:val="none" w:sz="0" w:space="0" w:color="auto"/>
        <w:bottom w:val="none" w:sz="0" w:space="0" w:color="auto"/>
        <w:right w:val="none" w:sz="0" w:space="0" w:color="auto"/>
      </w:divBdr>
    </w:div>
    <w:div w:id="592131163">
      <w:bodyDiv w:val="1"/>
      <w:marLeft w:val="0"/>
      <w:marRight w:val="0"/>
      <w:marTop w:val="0"/>
      <w:marBottom w:val="0"/>
      <w:divBdr>
        <w:top w:val="none" w:sz="0" w:space="0" w:color="auto"/>
        <w:left w:val="none" w:sz="0" w:space="0" w:color="auto"/>
        <w:bottom w:val="none" w:sz="0" w:space="0" w:color="auto"/>
        <w:right w:val="none" w:sz="0" w:space="0" w:color="auto"/>
      </w:divBdr>
    </w:div>
    <w:div w:id="619725587">
      <w:bodyDiv w:val="1"/>
      <w:marLeft w:val="0"/>
      <w:marRight w:val="0"/>
      <w:marTop w:val="0"/>
      <w:marBottom w:val="0"/>
      <w:divBdr>
        <w:top w:val="none" w:sz="0" w:space="0" w:color="auto"/>
        <w:left w:val="none" w:sz="0" w:space="0" w:color="auto"/>
        <w:bottom w:val="none" w:sz="0" w:space="0" w:color="auto"/>
        <w:right w:val="none" w:sz="0" w:space="0" w:color="auto"/>
      </w:divBdr>
    </w:div>
    <w:div w:id="657078949">
      <w:bodyDiv w:val="1"/>
      <w:marLeft w:val="0"/>
      <w:marRight w:val="0"/>
      <w:marTop w:val="0"/>
      <w:marBottom w:val="0"/>
      <w:divBdr>
        <w:top w:val="none" w:sz="0" w:space="0" w:color="auto"/>
        <w:left w:val="none" w:sz="0" w:space="0" w:color="auto"/>
        <w:bottom w:val="none" w:sz="0" w:space="0" w:color="auto"/>
        <w:right w:val="none" w:sz="0" w:space="0" w:color="auto"/>
      </w:divBdr>
    </w:div>
    <w:div w:id="679822137">
      <w:bodyDiv w:val="1"/>
      <w:marLeft w:val="0"/>
      <w:marRight w:val="0"/>
      <w:marTop w:val="0"/>
      <w:marBottom w:val="0"/>
      <w:divBdr>
        <w:top w:val="none" w:sz="0" w:space="0" w:color="auto"/>
        <w:left w:val="none" w:sz="0" w:space="0" w:color="auto"/>
        <w:bottom w:val="none" w:sz="0" w:space="0" w:color="auto"/>
        <w:right w:val="none" w:sz="0" w:space="0" w:color="auto"/>
      </w:divBdr>
    </w:div>
    <w:div w:id="692658367">
      <w:bodyDiv w:val="1"/>
      <w:marLeft w:val="0"/>
      <w:marRight w:val="0"/>
      <w:marTop w:val="0"/>
      <w:marBottom w:val="0"/>
      <w:divBdr>
        <w:top w:val="none" w:sz="0" w:space="0" w:color="auto"/>
        <w:left w:val="none" w:sz="0" w:space="0" w:color="auto"/>
        <w:bottom w:val="none" w:sz="0" w:space="0" w:color="auto"/>
        <w:right w:val="none" w:sz="0" w:space="0" w:color="auto"/>
      </w:divBdr>
    </w:div>
    <w:div w:id="702635451">
      <w:bodyDiv w:val="1"/>
      <w:marLeft w:val="0"/>
      <w:marRight w:val="0"/>
      <w:marTop w:val="0"/>
      <w:marBottom w:val="0"/>
      <w:divBdr>
        <w:top w:val="none" w:sz="0" w:space="0" w:color="auto"/>
        <w:left w:val="none" w:sz="0" w:space="0" w:color="auto"/>
        <w:bottom w:val="none" w:sz="0" w:space="0" w:color="auto"/>
        <w:right w:val="none" w:sz="0" w:space="0" w:color="auto"/>
      </w:divBdr>
    </w:div>
    <w:div w:id="710228151">
      <w:bodyDiv w:val="1"/>
      <w:marLeft w:val="0"/>
      <w:marRight w:val="0"/>
      <w:marTop w:val="0"/>
      <w:marBottom w:val="0"/>
      <w:divBdr>
        <w:top w:val="none" w:sz="0" w:space="0" w:color="auto"/>
        <w:left w:val="none" w:sz="0" w:space="0" w:color="auto"/>
        <w:bottom w:val="none" w:sz="0" w:space="0" w:color="auto"/>
        <w:right w:val="none" w:sz="0" w:space="0" w:color="auto"/>
      </w:divBdr>
    </w:div>
    <w:div w:id="710570246">
      <w:bodyDiv w:val="1"/>
      <w:marLeft w:val="0"/>
      <w:marRight w:val="0"/>
      <w:marTop w:val="0"/>
      <w:marBottom w:val="0"/>
      <w:divBdr>
        <w:top w:val="none" w:sz="0" w:space="0" w:color="auto"/>
        <w:left w:val="none" w:sz="0" w:space="0" w:color="auto"/>
        <w:bottom w:val="none" w:sz="0" w:space="0" w:color="auto"/>
        <w:right w:val="none" w:sz="0" w:space="0" w:color="auto"/>
      </w:divBdr>
    </w:div>
    <w:div w:id="726613787">
      <w:bodyDiv w:val="1"/>
      <w:marLeft w:val="0"/>
      <w:marRight w:val="0"/>
      <w:marTop w:val="0"/>
      <w:marBottom w:val="0"/>
      <w:divBdr>
        <w:top w:val="none" w:sz="0" w:space="0" w:color="auto"/>
        <w:left w:val="none" w:sz="0" w:space="0" w:color="auto"/>
        <w:bottom w:val="none" w:sz="0" w:space="0" w:color="auto"/>
        <w:right w:val="none" w:sz="0" w:space="0" w:color="auto"/>
      </w:divBdr>
    </w:div>
    <w:div w:id="727150980">
      <w:bodyDiv w:val="1"/>
      <w:marLeft w:val="0"/>
      <w:marRight w:val="0"/>
      <w:marTop w:val="0"/>
      <w:marBottom w:val="0"/>
      <w:divBdr>
        <w:top w:val="none" w:sz="0" w:space="0" w:color="auto"/>
        <w:left w:val="none" w:sz="0" w:space="0" w:color="auto"/>
        <w:bottom w:val="none" w:sz="0" w:space="0" w:color="auto"/>
        <w:right w:val="none" w:sz="0" w:space="0" w:color="auto"/>
      </w:divBdr>
    </w:div>
    <w:div w:id="770929040">
      <w:bodyDiv w:val="1"/>
      <w:marLeft w:val="0"/>
      <w:marRight w:val="0"/>
      <w:marTop w:val="0"/>
      <w:marBottom w:val="0"/>
      <w:divBdr>
        <w:top w:val="none" w:sz="0" w:space="0" w:color="auto"/>
        <w:left w:val="none" w:sz="0" w:space="0" w:color="auto"/>
        <w:bottom w:val="none" w:sz="0" w:space="0" w:color="auto"/>
        <w:right w:val="none" w:sz="0" w:space="0" w:color="auto"/>
      </w:divBdr>
    </w:div>
    <w:div w:id="808788385">
      <w:bodyDiv w:val="1"/>
      <w:marLeft w:val="0"/>
      <w:marRight w:val="0"/>
      <w:marTop w:val="0"/>
      <w:marBottom w:val="0"/>
      <w:divBdr>
        <w:top w:val="none" w:sz="0" w:space="0" w:color="auto"/>
        <w:left w:val="none" w:sz="0" w:space="0" w:color="auto"/>
        <w:bottom w:val="none" w:sz="0" w:space="0" w:color="auto"/>
        <w:right w:val="none" w:sz="0" w:space="0" w:color="auto"/>
      </w:divBdr>
    </w:div>
    <w:div w:id="812062575">
      <w:bodyDiv w:val="1"/>
      <w:marLeft w:val="0"/>
      <w:marRight w:val="0"/>
      <w:marTop w:val="0"/>
      <w:marBottom w:val="0"/>
      <w:divBdr>
        <w:top w:val="none" w:sz="0" w:space="0" w:color="auto"/>
        <w:left w:val="none" w:sz="0" w:space="0" w:color="auto"/>
        <w:bottom w:val="none" w:sz="0" w:space="0" w:color="auto"/>
        <w:right w:val="none" w:sz="0" w:space="0" w:color="auto"/>
      </w:divBdr>
    </w:div>
    <w:div w:id="900674831">
      <w:bodyDiv w:val="1"/>
      <w:marLeft w:val="0"/>
      <w:marRight w:val="0"/>
      <w:marTop w:val="0"/>
      <w:marBottom w:val="0"/>
      <w:divBdr>
        <w:top w:val="none" w:sz="0" w:space="0" w:color="auto"/>
        <w:left w:val="none" w:sz="0" w:space="0" w:color="auto"/>
        <w:bottom w:val="none" w:sz="0" w:space="0" w:color="auto"/>
        <w:right w:val="none" w:sz="0" w:space="0" w:color="auto"/>
      </w:divBdr>
    </w:div>
    <w:div w:id="914364471">
      <w:bodyDiv w:val="1"/>
      <w:marLeft w:val="0"/>
      <w:marRight w:val="0"/>
      <w:marTop w:val="0"/>
      <w:marBottom w:val="0"/>
      <w:divBdr>
        <w:top w:val="none" w:sz="0" w:space="0" w:color="auto"/>
        <w:left w:val="none" w:sz="0" w:space="0" w:color="auto"/>
        <w:bottom w:val="none" w:sz="0" w:space="0" w:color="auto"/>
        <w:right w:val="none" w:sz="0" w:space="0" w:color="auto"/>
      </w:divBdr>
    </w:div>
    <w:div w:id="921523876">
      <w:bodyDiv w:val="1"/>
      <w:marLeft w:val="0"/>
      <w:marRight w:val="0"/>
      <w:marTop w:val="0"/>
      <w:marBottom w:val="0"/>
      <w:divBdr>
        <w:top w:val="none" w:sz="0" w:space="0" w:color="auto"/>
        <w:left w:val="none" w:sz="0" w:space="0" w:color="auto"/>
        <w:bottom w:val="none" w:sz="0" w:space="0" w:color="auto"/>
        <w:right w:val="none" w:sz="0" w:space="0" w:color="auto"/>
      </w:divBdr>
    </w:div>
    <w:div w:id="926303846">
      <w:bodyDiv w:val="1"/>
      <w:marLeft w:val="0"/>
      <w:marRight w:val="0"/>
      <w:marTop w:val="0"/>
      <w:marBottom w:val="0"/>
      <w:divBdr>
        <w:top w:val="none" w:sz="0" w:space="0" w:color="auto"/>
        <w:left w:val="none" w:sz="0" w:space="0" w:color="auto"/>
        <w:bottom w:val="none" w:sz="0" w:space="0" w:color="auto"/>
        <w:right w:val="none" w:sz="0" w:space="0" w:color="auto"/>
      </w:divBdr>
    </w:div>
    <w:div w:id="930704317">
      <w:bodyDiv w:val="1"/>
      <w:marLeft w:val="0"/>
      <w:marRight w:val="0"/>
      <w:marTop w:val="0"/>
      <w:marBottom w:val="0"/>
      <w:divBdr>
        <w:top w:val="none" w:sz="0" w:space="0" w:color="auto"/>
        <w:left w:val="none" w:sz="0" w:space="0" w:color="auto"/>
        <w:bottom w:val="none" w:sz="0" w:space="0" w:color="auto"/>
        <w:right w:val="none" w:sz="0" w:space="0" w:color="auto"/>
      </w:divBdr>
    </w:div>
    <w:div w:id="949823131">
      <w:bodyDiv w:val="1"/>
      <w:marLeft w:val="0"/>
      <w:marRight w:val="0"/>
      <w:marTop w:val="0"/>
      <w:marBottom w:val="0"/>
      <w:divBdr>
        <w:top w:val="none" w:sz="0" w:space="0" w:color="auto"/>
        <w:left w:val="none" w:sz="0" w:space="0" w:color="auto"/>
        <w:bottom w:val="none" w:sz="0" w:space="0" w:color="auto"/>
        <w:right w:val="none" w:sz="0" w:space="0" w:color="auto"/>
      </w:divBdr>
    </w:div>
    <w:div w:id="956983792">
      <w:bodyDiv w:val="1"/>
      <w:marLeft w:val="0"/>
      <w:marRight w:val="0"/>
      <w:marTop w:val="0"/>
      <w:marBottom w:val="0"/>
      <w:divBdr>
        <w:top w:val="none" w:sz="0" w:space="0" w:color="auto"/>
        <w:left w:val="none" w:sz="0" w:space="0" w:color="auto"/>
        <w:bottom w:val="none" w:sz="0" w:space="0" w:color="auto"/>
        <w:right w:val="none" w:sz="0" w:space="0" w:color="auto"/>
      </w:divBdr>
    </w:div>
    <w:div w:id="963460019">
      <w:bodyDiv w:val="1"/>
      <w:marLeft w:val="0"/>
      <w:marRight w:val="0"/>
      <w:marTop w:val="0"/>
      <w:marBottom w:val="0"/>
      <w:divBdr>
        <w:top w:val="none" w:sz="0" w:space="0" w:color="auto"/>
        <w:left w:val="none" w:sz="0" w:space="0" w:color="auto"/>
        <w:bottom w:val="none" w:sz="0" w:space="0" w:color="auto"/>
        <w:right w:val="none" w:sz="0" w:space="0" w:color="auto"/>
      </w:divBdr>
    </w:div>
    <w:div w:id="976183624">
      <w:bodyDiv w:val="1"/>
      <w:marLeft w:val="0"/>
      <w:marRight w:val="0"/>
      <w:marTop w:val="0"/>
      <w:marBottom w:val="0"/>
      <w:divBdr>
        <w:top w:val="none" w:sz="0" w:space="0" w:color="auto"/>
        <w:left w:val="none" w:sz="0" w:space="0" w:color="auto"/>
        <w:bottom w:val="none" w:sz="0" w:space="0" w:color="auto"/>
        <w:right w:val="none" w:sz="0" w:space="0" w:color="auto"/>
      </w:divBdr>
    </w:div>
    <w:div w:id="986666468">
      <w:bodyDiv w:val="1"/>
      <w:marLeft w:val="0"/>
      <w:marRight w:val="0"/>
      <w:marTop w:val="0"/>
      <w:marBottom w:val="0"/>
      <w:divBdr>
        <w:top w:val="none" w:sz="0" w:space="0" w:color="auto"/>
        <w:left w:val="none" w:sz="0" w:space="0" w:color="auto"/>
        <w:bottom w:val="none" w:sz="0" w:space="0" w:color="auto"/>
        <w:right w:val="none" w:sz="0" w:space="0" w:color="auto"/>
      </w:divBdr>
    </w:div>
    <w:div w:id="994333802">
      <w:bodyDiv w:val="1"/>
      <w:marLeft w:val="0"/>
      <w:marRight w:val="0"/>
      <w:marTop w:val="0"/>
      <w:marBottom w:val="0"/>
      <w:divBdr>
        <w:top w:val="none" w:sz="0" w:space="0" w:color="auto"/>
        <w:left w:val="none" w:sz="0" w:space="0" w:color="auto"/>
        <w:bottom w:val="none" w:sz="0" w:space="0" w:color="auto"/>
        <w:right w:val="none" w:sz="0" w:space="0" w:color="auto"/>
      </w:divBdr>
    </w:div>
    <w:div w:id="997883782">
      <w:bodyDiv w:val="1"/>
      <w:marLeft w:val="0"/>
      <w:marRight w:val="0"/>
      <w:marTop w:val="0"/>
      <w:marBottom w:val="0"/>
      <w:divBdr>
        <w:top w:val="none" w:sz="0" w:space="0" w:color="auto"/>
        <w:left w:val="none" w:sz="0" w:space="0" w:color="auto"/>
        <w:bottom w:val="none" w:sz="0" w:space="0" w:color="auto"/>
        <w:right w:val="none" w:sz="0" w:space="0" w:color="auto"/>
      </w:divBdr>
    </w:div>
    <w:div w:id="1019745691">
      <w:bodyDiv w:val="1"/>
      <w:marLeft w:val="0"/>
      <w:marRight w:val="0"/>
      <w:marTop w:val="0"/>
      <w:marBottom w:val="0"/>
      <w:divBdr>
        <w:top w:val="none" w:sz="0" w:space="0" w:color="auto"/>
        <w:left w:val="none" w:sz="0" w:space="0" w:color="auto"/>
        <w:bottom w:val="none" w:sz="0" w:space="0" w:color="auto"/>
        <w:right w:val="none" w:sz="0" w:space="0" w:color="auto"/>
      </w:divBdr>
    </w:div>
    <w:div w:id="1022586733">
      <w:bodyDiv w:val="1"/>
      <w:marLeft w:val="0"/>
      <w:marRight w:val="0"/>
      <w:marTop w:val="0"/>
      <w:marBottom w:val="0"/>
      <w:divBdr>
        <w:top w:val="none" w:sz="0" w:space="0" w:color="auto"/>
        <w:left w:val="none" w:sz="0" w:space="0" w:color="auto"/>
        <w:bottom w:val="none" w:sz="0" w:space="0" w:color="auto"/>
        <w:right w:val="none" w:sz="0" w:space="0" w:color="auto"/>
      </w:divBdr>
    </w:div>
    <w:div w:id="1024554824">
      <w:bodyDiv w:val="1"/>
      <w:marLeft w:val="0"/>
      <w:marRight w:val="0"/>
      <w:marTop w:val="0"/>
      <w:marBottom w:val="0"/>
      <w:divBdr>
        <w:top w:val="none" w:sz="0" w:space="0" w:color="auto"/>
        <w:left w:val="none" w:sz="0" w:space="0" w:color="auto"/>
        <w:bottom w:val="none" w:sz="0" w:space="0" w:color="auto"/>
        <w:right w:val="none" w:sz="0" w:space="0" w:color="auto"/>
      </w:divBdr>
    </w:div>
    <w:div w:id="1046948063">
      <w:bodyDiv w:val="1"/>
      <w:marLeft w:val="0"/>
      <w:marRight w:val="0"/>
      <w:marTop w:val="0"/>
      <w:marBottom w:val="0"/>
      <w:divBdr>
        <w:top w:val="none" w:sz="0" w:space="0" w:color="auto"/>
        <w:left w:val="none" w:sz="0" w:space="0" w:color="auto"/>
        <w:bottom w:val="none" w:sz="0" w:space="0" w:color="auto"/>
        <w:right w:val="none" w:sz="0" w:space="0" w:color="auto"/>
      </w:divBdr>
    </w:div>
    <w:div w:id="1062480045">
      <w:bodyDiv w:val="1"/>
      <w:marLeft w:val="0"/>
      <w:marRight w:val="0"/>
      <w:marTop w:val="0"/>
      <w:marBottom w:val="0"/>
      <w:divBdr>
        <w:top w:val="none" w:sz="0" w:space="0" w:color="auto"/>
        <w:left w:val="none" w:sz="0" w:space="0" w:color="auto"/>
        <w:bottom w:val="none" w:sz="0" w:space="0" w:color="auto"/>
        <w:right w:val="none" w:sz="0" w:space="0" w:color="auto"/>
      </w:divBdr>
    </w:div>
    <w:div w:id="1064717536">
      <w:bodyDiv w:val="1"/>
      <w:marLeft w:val="0"/>
      <w:marRight w:val="0"/>
      <w:marTop w:val="0"/>
      <w:marBottom w:val="0"/>
      <w:divBdr>
        <w:top w:val="none" w:sz="0" w:space="0" w:color="auto"/>
        <w:left w:val="none" w:sz="0" w:space="0" w:color="auto"/>
        <w:bottom w:val="none" w:sz="0" w:space="0" w:color="auto"/>
        <w:right w:val="none" w:sz="0" w:space="0" w:color="auto"/>
      </w:divBdr>
    </w:div>
    <w:div w:id="1124034485">
      <w:bodyDiv w:val="1"/>
      <w:marLeft w:val="0"/>
      <w:marRight w:val="0"/>
      <w:marTop w:val="0"/>
      <w:marBottom w:val="0"/>
      <w:divBdr>
        <w:top w:val="none" w:sz="0" w:space="0" w:color="auto"/>
        <w:left w:val="none" w:sz="0" w:space="0" w:color="auto"/>
        <w:bottom w:val="none" w:sz="0" w:space="0" w:color="auto"/>
        <w:right w:val="none" w:sz="0" w:space="0" w:color="auto"/>
      </w:divBdr>
    </w:div>
    <w:div w:id="1142039001">
      <w:bodyDiv w:val="1"/>
      <w:marLeft w:val="0"/>
      <w:marRight w:val="0"/>
      <w:marTop w:val="0"/>
      <w:marBottom w:val="0"/>
      <w:divBdr>
        <w:top w:val="none" w:sz="0" w:space="0" w:color="auto"/>
        <w:left w:val="none" w:sz="0" w:space="0" w:color="auto"/>
        <w:bottom w:val="none" w:sz="0" w:space="0" w:color="auto"/>
        <w:right w:val="none" w:sz="0" w:space="0" w:color="auto"/>
      </w:divBdr>
    </w:div>
    <w:div w:id="1148014648">
      <w:bodyDiv w:val="1"/>
      <w:marLeft w:val="0"/>
      <w:marRight w:val="0"/>
      <w:marTop w:val="0"/>
      <w:marBottom w:val="0"/>
      <w:divBdr>
        <w:top w:val="none" w:sz="0" w:space="0" w:color="auto"/>
        <w:left w:val="none" w:sz="0" w:space="0" w:color="auto"/>
        <w:bottom w:val="none" w:sz="0" w:space="0" w:color="auto"/>
        <w:right w:val="none" w:sz="0" w:space="0" w:color="auto"/>
      </w:divBdr>
    </w:div>
    <w:div w:id="1162699284">
      <w:bodyDiv w:val="1"/>
      <w:marLeft w:val="0"/>
      <w:marRight w:val="0"/>
      <w:marTop w:val="0"/>
      <w:marBottom w:val="0"/>
      <w:divBdr>
        <w:top w:val="none" w:sz="0" w:space="0" w:color="auto"/>
        <w:left w:val="none" w:sz="0" w:space="0" w:color="auto"/>
        <w:bottom w:val="none" w:sz="0" w:space="0" w:color="auto"/>
        <w:right w:val="none" w:sz="0" w:space="0" w:color="auto"/>
      </w:divBdr>
    </w:div>
    <w:div w:id="1244531963">
      <w:bodyDiv w:val="1"/>
      <w:marLeft w:val="0"/>
      <w:marRight w:val="0"/>
      <w:marTop w:val="0"/>
      <w:marBottom w:val="0"/>
      <w:divBdr>
        <w:top w:val="none" w:sz="0" w:space="0" w:color="auto"/>
        <w:left w:val="none" w:sz="0" w:space="0" w:color="auto"/>
        <w:bottom w:val="none" w:sz="0" w:space="0" w:color="auto"/>
        <w:right w:val="none" w:sz="0" w:space="0" w:color="auto"/>
      </w:divBdr>
    </w:div>
    <w:div w:id="1244997177">
      <w:bodyDiv w:val="1"/>
      <w:marLeft w:val="0"/>
      <w:marRight w:val="0"/>
      <w:marTop w:val="0"/>
      <w:marBottom w:val="0"/>
      <w:divBdr>
        <w:top w:val="none" w:sz="0" w:space="0" w:color="auto"/>
        <w:left w:val="none" w:sz="0" w:space="0" w:color="auto"/>
        <w:bottom w:val="none" w:sz="0" w:space="0" w:color="auto"/>
        <w:right w:val="none" w:sz="0" w:space="0" w:color="auto"/>
      </w:divBdr>
    </w:div>
    <w:div w:id="1272860168">
      <w:bodyDiv w:val="1"/>
      <w:marLeft w:val="0"/>
      <w:marRight w:val="0"/>
      <w:marTop w:val="0"/>
      <w:marBottom w:val="0"/>
      <w:divBdr>
        <w:top w:val="none" w:sz="0" w:space="0" w:color="auto"/>
        <w:left w:val="none" w:sz="0" w:space="0" w:color="auto"/>
        <w:bottom w:val="none" w:sz="0" w:space="0" w:color="auto"/>
        <w:right w:val="none" w:sz="0" w:space="0" w:color="auto"/>
      </w:divBdr>
    </w:div>
    <w:div w:id="1275213742">
      <w:bodyDiv w:val="1"/>
      <w:marLeft w:val="0"/>
      <w:marRight w:val="0"/>
      <w:marTop w:val="0"/>
      <w:marBottom w:val="0"/>
      <w:divBdr>
        <w:top w:val="none" w:sz="0" w:space="0" w:color="auto"/>
        <w:left w:val="none" w:sz="0" w:space="0" w:color="auto"/>
        <w:bottom w:val="none" w:sz="0" w:space="0" w:color="auto"/>
        <w:right w:val="none" w:sz="0" w:space="0" w:color="auto"/>
      </w:divBdr>
    </w:div>
    <w:div w:id="1312832318">
      <w:bodyDiv w:val="1"/>
      <w:marLeft w:val="0"/>
      <w:marRight w:val="0"/>
      <w:marTop w:val="0"/>
      <w:marBottom w:val="0"/>
      <w:divBdr>
        <w:top w:val="none" w:sz="0" w:space="0" w:color="auto"/>
        <w:left w:val="none" w:sz="0" w:space="0" w:color="auto"/>
        <w:bottom w:val="none" w:sz="0" w:space="0" w:color="auto"/>
        <w:right w:val="none" w:sz="0" w:space="0" w:color="auto"/>
      </w:divBdr>
    </w:div>
    <w:div w:id="1322541617">
      <w:bodyDiv w:val="1"/>
      <w:marLeft w:val="0"/>
      <w:marRight w:val="0"/>
      <w:marTop w:val="0"/>
      <w:marBottom w:val="0"/>
      <w:divBdr>
        <w:top w:val="none" w:sz="0" w:space="0" w:color="auto"/>
        <w:left w:val="none" w:sz="0" w:space="0" w:color="auto"/>
        <w:bottom w:val="none" w:sz="0" w:space="0" w:color="auto"/>
        <w:right w:val="none" w:sz="0" w:space="0" w:color="auto"/>
      </w:divBdr>
    </w:div>
    <w:div w:id="1325624529">
      <w:bodyDiv w:val="1"/>
      <w:marLeft w:val="0"/>
      <w:marRight w:val="0"/>
      <w:marTop w:val="0"/>
      <w:marBottom w:val="0"/>
      <w:divBdr>
        <w:top w:val="none" w:sz="0" w:space="0" w:color="auto"/>
        <w:left w:val="none" w:sz="0" w:space="0" w:color="auto"/>
        <w:bottom w:val="none" w:sz="0" w:space="0" w:color="auto"/>
        <w:right w:val="none" w:sz="0" w:space="0" w:color="auto"/>
      </w:divBdr>
    </w:div>
    <w:div w:id="1346516997">
      <w:bodyDiv w:val="1"/>
      <w:marLeft w:val="0"/>
      <w:marRight w:val="0"/>
      <w:marTop w:val="0"/>
      <w:marBottom w:val="0"/>
      <w:divBdr>
        <w:top w:val="none" w:sz="0" w:space="0" w:color="auto"/>
        <w:left w:val="none" w:sz="0" w:space="0" w:color="auto"/>
        <w:bottom w:val="none" w:sz="0" w:space="0" w:color="auto"/>
        <w:right w:val="none" w:sz="0" w:space="0" w:color="auto"/>
      </w:divBdr>
    </w:div>
    <w:div w:id="1363676628">
      <w:bodyDiv w:val="1"/>
      <w:marLeft w:val="0"/>
      <w:marRight w:val="0"/>
      <w:marTop w:val="0"/>
      <w:marBottom w:val="0"/>
      <w:divBdr>
        <w:top w:val="none" w:sz="0" w:space="0" w:color="auto"/>
        <w:left w:val="none" w:sz="0" w:space="0" w:color="auto"/>
        <w:bottom w:val="none" w:sz="0" w:space="0" w:color="auto"/>
        <w:right w:val="none" w:sz="0" w:space="0" w:color="auto"/>
      </w:divBdr>
    </w:div>
    <w:div w:id="1385180921">
      <w:bodyDiv w:val="1"/>
      <w:marLeft w:val="0"/>
      <w:marRight w:val="0"/>
      <w:marTop w:val="0"/>
      <w:marBottom w:val="0"/>
      <w:divBdr>
        <w:top w:val="none" w:sz="0" w:space="0" w:color="auto"/>
        <w:left w:val="none" w:sz="0" w:space="0" w:color="auto"/>
        <w:bottom w:val="none" w:sz="0" w:space="0" w:color="auto"/>
        <w:right w:val="none" w:sz="0" w:space="0" w:color="auto"/>
      </w:divBdr>
    </w:div>
    <w:div w:id="1400707218">
      <w:bodyDiv w:val="1"/>
      <w:marLeft w:val="0"/>
      <w:marRight w:val="0"/>
      <w:marTop w:val="0"/>
      <w:marBottom w:val="0"/>
      <w:divBdr>
        <w:top w:val="none" w:sz="0" w:space="0" w:color="auto"/>
        <w:left w:val="none" w:sz="0" w:space="0" w:color="auto"/>
        <w:bottom w:val="none" w:sz="0" w:space="0" w:color="auto"/>
        <w:right w:val="none" w:sz="0" w:space="0" w:color="auto"/>
      </w:divBdr>
    </w:div>
    <w:div w:id="1435856515">
      <w:bodyDiv w:val="1"/>
      <w:marLeft w:val="0"/>
      <w:marRight w:val="0"/>
      <w:marTop w:val="0"/>
      <w:marBottom w:val="0"/>
      <w:divBdr>
        <w:top w:val="none" w:sz="0" w:space="0" w:color="auto"/>
        <w:left w:val="none" w:sz="0" w:space="0" w:color="auto"/>
        <w:bottom w:val="none" w:sz="0" w:space="0" w:color="auto"/>
        <w:right w:val="none" w:sz="0" w:space="0" w:color="auto"/>
      </w:divBdr>
    </w:div>
    <w:div w:id="1449470340">
      <w:bodyDiv w:val="1"/>
      <w:marLeft w:val="0"/>
      <w:marRight w:val="0"/>
      <w:marTop w:val="0"/>
      <w:marBottom w:val="0"/>
      <w:divBdr>
        <w:top w:val="none" w:sz="0" w:space="0" w:color="auto"/>
        <w:left w:val="none" w:sz="0" w:space="0" w:color="auto"/>
        <w:bottom w:val="none" w:sz="0" w:space="0" w:color="auto"/>
        <w:right w:val="none" w:sz="0" w:space="0" w:color="auto"/>
      </w:divBdr>
    </w:div>
    <w:div w:id="1467964070">
      <w:bodyDiv w:val="1"/>
      <w:marLeft w:val="0"/>
      <w:marRight w:val="0"/>
      <w:marTop w:val="0"/>
      <w:marBottom w:val="0"/>
      <w:divBdr>
        <w:top w:val="none" w:sz="0" w:space="0" w:color="auto"/>
        <w:left w:val="none" w:sz="0" w:space="0" w:color="auto"/>
        <w:bottom w:val="none" w:sz="0" w:space="0" w:color="auto"/>
        <w:right w:val="none" w:sz="0" w:space="0" w:color="auto"/>
      </w:divBdr>
    </w:div>
    <w:div w:id="1494754376">
      <w:bodyDiv w:val="1"/>
      <w:marLeft w:val="0"/>
      <w:marRight w:val="0"/>
      <w:marTop w:val="0"/>
      <w:marBottom w:val="0"/>
      <w:divBdr>
        <w:top w:val="none" w:sz="0" w:space="0" w:color="auto"/>
        <w:left w:val="none" w:sz="0" w:space="0" w:color="auto"/>
        <w:bottom w:val="none" w:sz="0" w:space="0" w:color="auto"/>
        <w:right w:val="none" w:sz="0" w:space="0" w:color="auto"/>
      </w:divBdr>
    </w:div>
    <w:div w:id="1506092248">
      <w:bodyDiv w:val="1"/>
      <w:marLeft w:val="0"/>
      <w:marRight w:val="0"/>
      <w:marTop w:val="0"/>
      <w:marBottom w:val="0"/>
      <w:divBdr>
        <w:top w:val="none" w:sz="0" w:space="0" w:color="auto"/>
        <w:left w:val="none" w:sz="0" w:space="0" w:color="auto"/>
        <w:bottom w:val="none" w:sz="0" w:space="0" w:color="auto"/>
        <w:right w:val="none" w:sz="0" w:space="0" w:color="auto"/>
      </w:divBdr>
    </w:div>
    <w:div w:id="1534263656">
      <w:bodyDiv w:val="1"/>
      <w:marLeft w:val="0"/>
      <w:marRight w:val="0"/>
      <w:marTop w:val="0"/>
      <w:marBottom w:val="0"/>
      <w:divBdr>
        <w:top w:val="none" w:sz="0" w:space="0" w:color="auto"/>
        <w:left w:val="none" w:sz="0" w:space="0" w:color="auto"/>
        <w:bottom w:val="none" w:sz="0" w:space="0" w:color="auto"/>
        <w:right w:val="none" w:sz="0" w:space="0" w:color="auto"/>
      </w:divBdr>
    </w:div>
    <w:div w:id="1536430803">
      <w:bodyDiv w:val="1"/>
      <w:marLeft w:val="0"/>
      <w:marRight w:val="0"/>
      <w:marTop w:val="0"/>
      <w:marBottom w:val="0"/>
      <w:divBdr>
        <w:top w:val="none" w:sz="0" w:space="0" w:color="auto"/>
        <w:left w:val="none" w:sz="0" w:space="0" w:color="auto"/>
        <w:bottom w:val="none" w:sz="0" w:space="0" w:color="auto"/>
        <w:right w:val="none" w:sz="0" w:space="0" w:color="auto"/>
      </w:divBdr>
    </w:div>
    <w:div w:id="1538199017">
      <w:bodyDiv w:val="1"/>
      <w:marLeft w:val="0"/>
      <w:marRight w:val="0"/>
      <w:marTop w:val="0"/>
      <w:marBottom w:val="0"/>
      <w:divBdr>
        <w:top w:val="none" w:sz="0" w:space="0" w:color="auto"/>
        <w:left w:val="none" w:sz="0" w:space="0" w:color="auto"/>
        <w:bottom w:val="none" w:sz="0" w:space="0" w:color="auto"/>
        <w:right w:val="none" w:sz="0" w:space="0" w:color="auto"/>
      </w:divBdr>
    </w:div>
    <w:div w:id="1562475200">
      <w:bodyDiv w:val="1"/>
      <w:marLeft w:val="0"/>
      <w:marRight w:val="0"/>
      <w:marTop w:val="0"/>
      <w:marBottom w:val="0"/>
      <w:divBdr>
        <w:top w:val="none" w:sz="0" w:space="0" w:color="auto"/>
        <w:left w:val="none" w:sz="0" w:space="0" w:color="auto"/>
        <w:bottom w:val="none" w:sz="0" w:space="0" w:color="auto"/>
        <w:right w:val="none" w:sz="0" w:space="0" w:color="auto"/>
      </w:divBdr>
    </w:div>
    <w:div w:id="1564366822">
      <w:bodyDiv w:val="1"/>
      <w:marLeft w:val="0"/>
      <w:marRight w:val="0"/>
      <w:marTop w:val="0"/>
      <w:marBottom w:val="0"/>
      <w:divBdr>
        <w:top w:val="none" w:sz="0" w:space="0" w:color="auto"/>
        <w:left w:val="none" w:sz="0" w:space="0" w:color="auto"/>
        <w:bottom w:val="none" w:sz="0" w:space="0" w:color="auto"/>
        <w:right w:val="none" w:sz="0" w:space="0" w:color="auto"/>
      </w:divBdr>
    </w:div>
    <w:div w:id="1571161462">
      <w:bodyDiv w:val="1"/>
      <w:marLeft w:val="0"/>
      <w:marRight w:val="0"/>
      <w:marTop w:val="0"/>
      <w:marBottom w:val="0"/>
      <w:divBdr>
        <w:top w:val="none" w:sz="0" w:space="0" w:color="auto"/>
        <w:left w:val="none" w:sz="0" w:space="0" w:color="auto"/>
        <w:bottom w:val="none" w:sz="0" w:space="0" w:color="auto"/>
        <w:right w:val="none" w:sz="0" w:space="0" w:color="auto"/>
      </w:divBdr>
    </w:div>
    <w:div w:id="1647852712">
      <w:bodyDiv w:val="1"/>
      <w:marLeft w:val="0"/>
      <w:marRight w:val="0"/>
      <w:marTop w:val="0"/>
      <w:marBottom w:val="0"/>
      <w:divBdr>
        <w:top w:val="none" w:sz="0" w:space="0" w:color="auto"/>
        <w:left w:val="none" w:sz="0" w:space="0" w:color="auto"/>
        <w:bottom w:val="none" w:sz="0" w:space="0" w:color="auto"/>
        <w:right w:val="none" w:sz="0" w:space="0" w:color="auto"/>
      </w:divBdr>
    </w:div>
    <w:div w:id="1652979617">
      <w:bodyDiv w:val="1"/>
      <w:marLeft w:val="0"/>
      <w:marRight w:val="0"/>
      <w:marTop w:val="0"/>
      <w:marBottom w:val="0"/>
      <w:divBdr>
        <w:top w:val="none" w:sz="0" w:space="0" w:color="auto"/>
        <w:left w:val="none" w:sz="0" w:space="0" w:color="auto"/>
        <w:bottom w:val="none" w:sz="0" w:space="0" w:color="auto"/>
        <w:right w:val="none" w:sz="0" w:space="0" w:color="auto"/>
      </w:divBdr>
    </w:div>
    <w:div w:id="1657487821">
      <w:bodyDiv w:val="1"/>
      <w:marLeft w:val="0"/>
      <w:marRight w:val="0"/>
      <w:marTop w:val="0"/>
      <w:marBottom w:val="0"/>
      <w:divBdr>
        <w:top w:val="none" w:sz="0" w:space="0" w:color="auto"/>
        <w:left w:val="none" w:sz="0" w:space="0" w:color="auto"/>
        <w:bottom w:val="none" w:sz="0" w:space="0" w:color="auto"/>
        <w:right w:val="none" w:sz="0" w:space="0" w:color="auto"/>
      </w:divBdr>
    </w:div>
    <w:div w:id="1682661192">
      <w:bodyDiv w:val="1"/>
      <w:marLeft w:val="0"/>
      <w:marRight w:val="0"/>
      <w:marTop w:val="0"/>
      <w:marBottom w:val="0"/>
      <w:divBdr>
        <w:top w:val="none" w:sz="0" w:space="0" w:color="auto"/>
        <w:left w:val="none" w:sz="0" w:space="0" w:color="auto"/>
        <w:bottom w:val="none" w:sz="0" w:space="0" w:color="auto"/>
        <w:right w:val="none" w:sz="0" w:space="0" w:color="auto"/>
      </w:divBdr>
    </w:div>
    <w:div w:id="1710177577">
      <w:bodyDiv w:val="1"/>
      <w:marLeft w:val="0"/>
      <w:marRight w:val="0"/>
      <w:marTop w:val="0"/>
      <w:marBottom w:val="0"/>
      <w:divBdr>
        <w:top w:val="none" w:sz="0" w:space="0" w:color="auto"/>
        <w:left w:val="none" w:sz="0" w:space="0" w:color="auto"/>
        <w:bottom w:val="none" w:sz="0" w:space="0" w:color="auto"/>
        <w:right w:val="none" w:sz="0" w:space="0" w:color="auto"/>
      </w:divBdr>
    </w:div>
    <w:div w:id="1724018440">
      <w:bodyDiv w:val="1"/>
      <w:marLeft w:val="0"/>
      <w:marRight w:val="0"/>
      <w:marTop w:val="0"/>
      <w:marBottom w:val="0"/>
      <w:divBdr>
        <w:top w:val="none" w:sz="0" w:space="0" w:color="auto"/>
        <w:left w:val="none" w:sz="0" w:space="0" w:color="auto"/>
        <w:bottom w:val="none" w:sz="0" w:space="0" w:color="auto"/>
        <w:right w:val="none" w:sz="0" w:space="0" w:color="auto"/>
      </w:divBdr>
    </w:div>
    <w:div w:id="1724715559">
      <w:bodyDiv w:val="1"/>
      <w:marLeft w:val="0"/>
      <w:marRight w:val="0"/>
      <w:marTop w:val="0"/>
      <w:marBottom w:val="0"/>
      <w:divBdr>
        <w:top w:val="none" w:sz="0" w:space="0" w:color="auto"/>
        <w:left w:val="none" w:sz="0" w:space="0" w:color="auto"/>
        <w:bottom w:val="none" w:sz="0" w:space="0" w:color="auto"/>
        <w:right w:val="none" w:sz="0" w:space="0" w:color="auto"/>
      </w:divBdr>
    </w:div>
    <w:div w:id="1746415474">
      <w:bodyDiv w:val="1"/>
      <w:marLeft w:val="0"/>
      <w:marRight w:val="0"/>
      <w:marTop w:val="0"/>
      <w:marBottom w:val="0"/>
      <w:divBdr>
        <w:top w:val="none" w:sz="0" w:space="0" w:color="auto"/>
        <w:left w:val="none" w:sz="0" w:space="0" w:color="auto"/>
        <w:bottom w:val="none" w:sz="0" w:space="0" w:color="auto"/>
        <w:right w:val="none" w:sz="0" w:space="0" w:color="auto"/>
      </w:divBdr>
    </w:div>
    <w:div w:id="1763836524">
      <w:bodyDiv w:val="1"/>
      <w:marLeft w:val="0"/>
      <w:marRight w:val="0"/>
      <w:marTop w:val="0"/>
      <w:marBottom w:val="0"/>
      <w:divBdr>
        <w:top w:val="none" w:sz="0" w:space="0" w:color="auto"/>
        <w:left w:val="none" w:sz="0" w:space="0" w:color="auto"/>
        <w:bottom w:val="none" w:sz="0" w:space="0" w:color="auto"/>
        <w:right w:val="none" w:sz="0" w:space="0" w:color="auto"/>
      </w:divBdr>
    </w:div>
    <w:div w:id="1764300834">
      <w:bodyDiv w:val="1"/>
      <w:marLeft w:val="0"/>
      <w:marRight w:val="0"/>
      <w:marTop w:val="0"/>
      <w:marBottom w:val="0"/>
      <w:divBdr>
        <w:top w:val="none" w:sz="0" w:space="0" w:color="auto"/>
        <w:left w:val="none" w:sz="0" w:space="0" w:color="auto"/>
        <w:bottom w:val="none" w:sz="0" w:space="0" w:color="auto"/>
        <w:right w:val="none" w:sz="0" w:space="0" w:color="auto"/>
      </w:divBdr>
    </w:div>
    <w:div w:id="1796292840">
      <w:bodyDiv w:val="1"/>
      <w:marLeft w:val="0"/>
      <w:marRight w:val="0"/>
      <w:marTop w:val="0"/>
      <w:marBottom w:val="0"/>
      <w:divBdr>
        <w:top w:val="none" w:sz="0" w:space="0" w:color="auto"/>
        <w:left w:val="none" w:sz="0" w:space="0" w:color="auto"/>
        <w:bottom w:val="none" w:sz="0" w:space="0" w:color="auto"/>
        <w:right w:val="none" w:sz="0" w:space="0" w:color="auto"/>
      </w:divBdr>
    </w:div>
    <w:div w:id="1803616747">
      <w:bodyDiv w:val="1"/>
      <w:marLeft w:val="0"/>
      <w:marRight w:val="0"/>
      <w:marTop w:val="0"/>
      <w:marBottom w:val="0"/>
      <w:divBdr>
        <w:top w:val="none" w:sz="0" w:space="0" w:color="auto"/>
        <w:left w:val="none" w:sz="0" w:space="0" w:color="auto"/>
        <w:bottom w:val="none" w:sz="0" w:space="0" w:color="auto"/>
        <w:right w:val="none" w:sz="0" w:space="0" w:color="auto"/>
      </w:divBdr>
    </w:div>
    <w:div w:id="1805610915">
      <w:bodyDiv w:val="1"/>
      <w:marLeft w:val="0"/>
      <w:marRight w:val="0"/>
      <w:marTop w:val="0"/>
      <w:marBottom w:val="0"/>
      <w:divBdr>
        <w:top w:val="none" w:sz="0" w:space="0" w:color="auto"/>
        <w:left w:val="none" w:sz="0" w:space="0" w:color="auto"/>
        <w:bottom w:val="none" w:sz="0" w:space="0" w:color="auto"/>
        <w:right w:val="none" w:sz="0" w:space="0" w:color="auto"/>
      </w:divBdr>
    </w:div>
    <w:div w:id="1848981853">
      <w:bodyDiv w:val="1"/>
      <w:marLeft w:val="0"/>
      <w:marRight w:val="0"/>
      <w:marTop w:val="0"/>
      <w:marBottom w:val="0"/>
      <w:divBdr>
        <w:top w:val="none" w:sz="0" w:space="0" w:color="auto"/>
        <w:left w:val="none" w:sz="0" w:space="0" w:color="auto"/>
        <w:bottom w:val="none" w:sz="0" w:space="0" w:color="auto"/>
        <w:right w:val="none" w:sz="0" w:space="0" w:color="auto"/>
      </w:divBdr>
    </w:div>
    <w:div w:id="1850900106">
      <w:bodyDiv w:val="1"/>
      <w:marLeft w:val="0"/>
      <w:marRight w:val="0"/>
      <w:marTop w:val="0"/>
      <w:marBottom w:val="0"/>
      <w:divBdr>
        <w:top w:val="none" w:sz="0" w:space="0" w:color="auto"/>
        <w:left w:val="none" w:sz="0" w:space="0" w:color="auto"/>
        <w:bottom w:val="none" w:sz="0" w:space="0" w:color="auto"/>
        <w:right w:val="none" w:sz="0" w:space="0" w:color="auto"/>
      </w:divBdr>
    </w:div>
    <w:div w:id="1851673519">
      <w:bodyDiv w:val="1"/>
      <w:marLeft w:val="0"/>
      <w:marRight w:val="0"/>
      <w:marTop w:val="0"/>
      <w:marBottom w:val="0"/>
      <w:divBdr>
        <w:top w:val="none" w:sz="0" w:space="0" w:color="auto"/>
        <w:left w:val="none" w:sz="0" w:space="0" w:color="auto"/>
        <w:bottom w:val="none" w:sz="0" w:space="0" w:color="auto"/>
        <w:right w:val="none" w:sz="0" w:space="0" w:color="auto"/>
      </w:divBdr>
    </w:div>
    <w:div w:id="1861040475">
      <w:bodyDiv w:val="1"/>
      <w:marLeft w:val="0"/>
      <w:marRight w:val="0"/>
      <w:marTop w:val="0"/>
      <w:marBottom w:val="0"/>
      <w:divBdr>
        <w:top w:val="none" w:sz="0" w:space="0" w:color="auto"/>
        <w:left w:val="none" w:sz="0" w:space="0" w:color="auto"/>
        <w:bottom w:val="none" w:sz="0" w:space="0" w:color="auto"/>
        <w:right w:val="none" w:sz="0" w:space="0" w:color="auto"/>
      </w:divBdr>
    </w:div>
    <w:div w:id="1879126724">
      <w:bodyDiv w:val="1"/>
      <w:marLeft w:val="0"/>
      <w:marRight w:val="0"/>
      <w:marTop w:val="0"/>
      <w:marBottom w:val="0"/>
      <w:divBdr>
        <w:top w:val="none" w:sz="0" w:space="0" w:color="auto"/>
        <w:left w:val="none" w:sz="0" w:space="0" w:color="auto"/>
        <w:bottom w:val="none" w:sz="0" w:space="0" w:color="auto"/>
        <w:right w:val="none" w:sz="0" w:space="0" w:color="auto"/>
      </w:divBdr>
    </w:div>
    <w:div w:id="1881824114">
      <w:bodyDiv w:val="1"/>
      <w:marLeft w:val="0"/>
      <w:marRight w:val="0"/>
      <w:marTop w:val="0"/>
      <w:marBottom w:val="0"/>
      <w:divBdr>
        <w:top w:val="none" w:sz="0" w:space="0" w:color="auto"/>
        <w:left w:val="none" w:sz="0" w:space="0" w:color="auto"/>
        <w:bottom w:val="none" w:sz="0" w:space="0" w:color="auto"/>
        <w:right w:val="none" w:sz="0" w:space="0" w:color="auto"/>
      </w:divBdr>
    </w:div>
    <w:div w:id="1893879565">
      <w:bodyDiv w:val="1"/>
      <w:marLeft w:val="0"/>
      <w:marRight w:val="0"/>
      <w:marTop w:val="0"/>
      <w:marBottom w:val="0"/>
      <w:divBdr>
        <w:top w:val="none" w:sz="0" w:space="0" w:color="auto"/>
        <w:left w:val="none" w:sz="0" w:space="0" w:color="auto"/>
        <w:bottom w:val="none" w:sz="0" w:space="0" w:color="auto"/>
        <w:right w:val="none" w:sz="0" w:space="0" w:color="auto"/>
      </w:divBdr>
    </w:div>
    <w:div w:id="1904900457">
      <w:bodyDiv w:val="1"/>
      <w:marLeft w:val="0"/>
      <w:marRight w:val="0"/>
      <w:marTop w:val="0"/>
      <w:marBottom w:val="0"/>
      <w:divBdr>
        <w:top w:val="none" w:sz="0" w:space="0" w:color="auto"/>
        <w:left w:val="none" w:sz="0" w:space="0" w:color="auto"/>
        <w:bottom w:val="none" w:sz="0" w:space="0" w:color="auto"/>
        <w:right w:val="none" w:sz="0" w:space="0" w:color="auto"/>
      </w:divBdr>
    </w:div>
    <w:div w:id="1919366296">
      <w:bodyDiv w:val="1"/>
      <w:marLeft w:val="0"/>
      <w:marRight w:val="0"/>
      <w:marTop w:val="0"/>
      <w:marBottom w:val="0"/>
      <w:divBdr>
        <w:top w:val="none" w:sz="0" w:space="0" w:color="auto"/>
        <w:left w:val="none" w:sz="0" w:space="0" w:color="auto"/>
        <w:bottom w:val="none" w:sz="0" w:space="0" w:color="auto"/>
        <w:right w:val="none" w:sz="0" w:space="0" w:color="auto"/>
      </w:divBdr>
    </w:div>
    <w:div w:id="1923564402">
      <w:bodyDiv w:val="1"/>
      <w:marLeft w:val="0"/>
      <w:marRight w:val="0"/>
      <w:marTop w:val="0"/>
      <w:marBottom w:val="0"/>
      <w:divBdr>
        <w:top w:val="none" w:sz="0" w:space="0" w:color="auto"/>
        <w:left w:val="none" w:sz="0" w:space="0" w:color="auto"/>
        <w:bottom w:val="none" w:sz="0" w:space="0" w:color="auto"/>
        <w:right w:val="none" w:sz="0" w:space="0" w:color="auto"/>
      </w:divBdr>
    </w:div>
    <w:div w:id="1924408666">
      <w:bodyDiv w:val="1"/>
      <w:marLeft w:val="0"/>
      <w:marRight w:val="0"/>
      <w:marTop w:val="0"/>
      <w:marBottom w:val="0"/>
      <w:divBdr>
        <w:top w:val="none" w:sz="0" w:space="0" w:color="auto"/>
        <w:left w:val="none" w:sz="0" w:space="0" w:color="auto"/>
        <w:bottom w:val="none" w:sz="0" w:space="0" w:color="auto"/>
        <w:right w:val="none" w:sz="0" w:space="0" w:color="auto"/>
      </w:divBdr>
    </w:div>
    <w:div w:id="1926379063">
      <w:bodyDiv w:val="1"/>
      <w:marLeft w:val="0"/>
      <w:marRight w:val="0"/>
      <w:marTop w:val="0"/>
      <w:marBottom w:val="0"/>
      <w:divBdr>
        <w:top w:val="none" w:sz="0" w:space="0" w:color="auto"/>
        <w:left w:val="none" w:sz="0" w:space="0" w:color="auto"/>
        <w:bottom w:val="none" w:sz="0" w:space="0" w:color="auto"/>
        <w:right w:val="none" w:sz="0" w:space="0" w:color="auto"/>
      </w:divBdr>
    </w:div>
    <w:div w:id="1937250660">
      <w:bodyDiv w:val="1"/>
      <w:marLeft w:val="0"/>
      <w:marRight w:val="0"/>
      <w:marTop w:val="0"/>
      <w:marBottom w:val="0"/>
      <w:divBdr>
        <w:top w:val="none" w:sz="0" w:space="0" w:color="auto"/>
        <w:left w:val="none" w:sz="0" w:space="0" w:color="auto"/>
        <w:bottom w:val="none" w:sz="0" w:space="0" w:color="auto"/>
        <w:right w:val="none" w:sz="0" w:space="0" w:color="auto"/>
      </w:divBdr>
    </w:div>
    <w:div w:id="1940790565">
      <w:bodyDiv w:val="1"/>
      <w:marLeft w:val="0"/>
      <w:marRight w:val="0"/>
      <w:marTop w:val="0"/>
      <w:marBottom w:val="0"/>
      <w:divBdr>
        <w:top w:val="none" w:sz="0" w:space="0" w:color="auto"/>
        <w:left w:val="none" w:sz="0" w:space="0" w:color="auto"/>
        <w:bottom w:val="none" w:sz="0" w:space="0" w:color="auto"/>
        <w:right w:val="none" w:sz="0" w:space="0" w:color="auto"/>
      </w:divBdr>
    </w:div>
    <w:div w:id="1943144902">
      <w:bodyDiv w:val="1"/>
      <w:marLeft w:val="0"/>
      <w:marRight w:val="0"/>
      <w:marTop w:val="0"/>
      <w:marBottom w:val="0"/>
      <w:divBdr>
        <w:top w:val="none" w:sz="0" w:space="0" w:color="auto"/>
        <w:left w:val="none" w:sz="0" w:space="0" w:color="auto"/>
        <w:bottom w:val="none" w:sz="0" w:space="0" w:color="auto"/>
        <w:right w:val="none" w:sz="0" w:space="0" w:color="auto"/>
      </w:divBdr>
    </w:div>
    <w:div w:id="1962497464">
      <w:bodyDiv w:val="1"/>
      <w:marLeft w:val="0"/>
      <w:marRight w:val="0"/>
      <w:marTop w:val="0"/>
      <w:marBottom w:val="0"/>
      <w:divBdr>
        <w:top w:val="none" w:sz="0" w:space="0" w:color="auto"/>
        <w:left w:val="none" w:sz="0" w:space="0" w:color="auto"/>
        <w:bottom w:val="none" w:sz="0" w:space="0" w:color="auto"/>
        <w:right w:val="none" w:sz="0" w:space="0" w:color="auto"/>
      </w:divBdr>
    </w:div>
    <w:div w:id="1985625302">
      <w:bodyDiv w:val="1"/>
      <w:marLeft w:val="0"/>
      <w:marRight w:val="0"/>
      <w:marTop w:val="0"/>
      <w:marBottom w:val="0"/>
      <w:divBdr>
        <w:top w:val="none" w:sz="0" w:space="0" w:color="auto"/>
        <w:left w:val="none" w:sz="0" w:space="0" w:color="auto"/>
        <w:bottom w:val="none" w:sz="0" w:space="0" w:color="auto"/>
        <w:right w:val="none" w:sz="0" w:space="0" w:color="auto"/>
      </w:divBdr>
    </w:div>
    <w:div w:id="2005476973">
      <w:bodyDiv w:val="1"/>
      <w:marLeft w:val="0"/>
      <w:marRight w:val="0"/>
      <w:marTop w:val="0"/>
      <w:marBottom w:val="0"/>
      <w:divBdr>
        <w:top w:val="none" w:sz="0" w:space="0" w:color="auto"/>
        <w:left w:val="none" w:sz="0" w:space="0" w:color="auto"/>
        <w:bottom w:val="none" w:sz="0" w:space="0" w:color="auto"/>
        <w:right w:val="none" w:sz="0" w:space="0" w:color="auto"/>
      </w:divBdr>
    </w:div>
    <w:div w:id="2029210620">
      <w:bodyDiv w:val="1"/>
      <w:marLeft w:val="0"/>
      <w:marRight w:val="0"/>
      <w:marTop w:val="0"/>
      <w:marBottom w:val="0"/>
      <w:divBdr>
        <w:top w:val="none" w:sz="0" w:space="0" w:color="auto"/>
        <w:left w:val="none" w:sz="0" w:space="0" w:color="auto"/>
        <w:bottom w:val="none" w:sz="0" w:space="0" w:color="auto"/>
        <w:right w:val="none" w:sz="0" w:space="0" w:color="auto"/>
      </w:divBdr>
    </w:div>
    <w:div w:id="2041660287">
      <w:bodyDiv w:val="1"/>
      <w:marLeft w:val="0"/>
      <w:marRight w:val="0"/>
      <w:marTop w:val="0"/>
      <w:marBottom w:val="0"/>
      <w:divBdr>
        <w:top w:val="none" w:sz="0" w:space="0" w:color="auto"/>
        <w:left w:val="none" w:sz="0" w:space="0" w:color="auto"/>
        <w:bottom w:val="none" w:sz="0" w:space="0" w:color="auto"/>
        <w:right w:val="none" w:sz="0" w:space="0" w:color="auto"/>
      </w:divBdr>
    </w:div>
    <w:div w:id="2109041320">
      <w:bodyDiv w:val="1"/>
      <w:marLeft w:val="0"/>
      <w:marRight w:val="0"/>
      <w:marTop w:val="0"/>
      <w:marBottom w:val="0"/>
      <w:divBdr>
        <w:top w:val="none" w:sz="0" w:space="0" w:color="auto"/>
        <w:left w:val="none" w:sz="0" w:space="0" w:color="auto"/>
        <w:bottom w:val="none" w:sz="0" w:space="0" w:color="auto"/>
        <w:right w:val="none" w:sz="0" w:space="0" w:color="auto"/>
      </w:divBdr>
    </w:div>
    <w:div w:id="2109277391">
      <w:bodyDiv w:val="1"/>
      <w:marLeft w:val="0"/>
      <w:marRight w:val="0"/>
      <w:marTop w:val="0"/>
      <w:marBottom w:val="0"/>
      <w:divBdr>
        <w:top w:val="none" w:sz="0" w:space="0" w:color="auto"/>
        <w:left w:val="none" w:sz="0" w:space="0" w:color="auto"/>
        <w:bottom w:val="none" w:sz="0" w:space="0" w:color="auto"/>
        <w:right w:val="none" w:sz="0" w:space="0" w:color="auto"/>
      </w:divBdr>
    </w:div>
    <w:div w:id="2121756069">
      <w:bodyDiv w:val="1"/>
      <w:marLeft w:val="0"/>
      <w:marRight w:val="0"/>
      <w:marTop w:val="0"/>
      <w:marBottom w:val="0"/>
      <w:divBdr>
        <w:top w:val="none" w:sz="0" w:space="0" w:color="auto"/>
        <w:left w:val="none" w:sz="0" w:space="0" w:color="auto"/>
        <w:bottom w:val="none" w:sz="0" w:space="0" w:color="auto"/>
        <w:right w:val="none" w:sz="0" w:space="0" w:color="auto"/>
      </w:divBdr>
    </w:div>
    <w:div w:id="21372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FAC8A-D724-406D-8396-EBCB9489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21</Pages>
  <Words>4856</Words>
  <Characters>26226</Characters>
  <Application>Microsoft Office Word</Application>
  <DocSecurity>0</DocSecurity>
  <Lines>218</Lines>
  <Paragraphs>62</Paragraphs>
  <ScaleCrop>false</ScaleCrop>
  <HeadingPairs>
    <vt:vector size="2" baseType="variant">
      <vt:variant>
        <vt:lpstr>Τίτλος</vt:lpstr>
      </vt:variant>
      <vt:variant>
        <vt:i4>1</vt:i4>
      </vt:variant>
    </vt:vector>
  </HeadingPairs>
  <TitlesOfParts>
    <vt:vector size="1" baseType="lpstr">
      <vt:lpstr>ISRS 4400</vt:lpstr>
    </vt:vector>
  </TitlesOfParts>
  <Company/>
  <LinksUpToDate>false</LinksUpToDate>
  <CharactersWithSpaces>31020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ISRS 4400</dc:title>
  <dc:subject/>
  <dc:creator>Your User Name</dc:creator>
  <cp:keywords/>
  <cp:lastModifiedBy>Konstantinos A. Andreou</cp:lastModifiedBy>
  <cp:revision>29</cp:revision>
  <cp:lastPrinted>2019-08-29T08:17:00Z</cp:lastPrinted>
  <dcterms:created xsi:type="dcterms:W3CDTF">2019-08-28T15:38:00Z</dcterms:created>
  <dcterms:modified xsi:type="dcterms:W3CDTF">2022-08-17T09:46:00Z</dcterms:modified>
</cp:coreProperties>
</file>